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5115"/>
      </w:tblGrid>
      <w:tr w:rsidR="00EE2C43" w:rsidRPr="00ED1A8E" w14:paraId="6A5B351F" w14:textId="77777777" w:rsidTr="008D5BD9">
        <w:tc>
          <w:tcPr>
            <w:tcW w:w="9922" w:type="dxa"/>
            <w:gridSpan w:val="2"/>
          </w:tcPr>
          <w:p w14:paraId="7F549168" w14:textId="47A39434" w:rsidR="00EE2C43" w:rsidRPr="00B75534" w:rsidRDefault="00C90875" w:rsidP="00DC4AD5">
            <w:pPr>
              <w:spacing w:after="240"/>
              <w:rPr>
                <w:rFonts w:ascii="Amaranth" w:hAnsi="Amaranth" w:cstheme="minorHAnsi"/>
                <w:b/>
                <w:noProof/>
                <w:color w:val="1E3250"/>
                <w:sz w:val="48"/>
                <w:szCs w:val="48"/>
                <w:lang w:val="fr-FR" w:eastAsia="en-GB"/>
              </w:rPr>
            </w:pPr>
            <w:r w:rsidRPr="00C90875">
              <w:rPr>
                <w:rFonts w:ascii="Amaranth" w:hAnsi="Amaranth" w:cstheme="minorHAnsi"/>
                <w:b/>
                <w:color w:val="1E3250"/>
                <w:sz w:val="50"/>
                <w:szCs w:val="50"/>
                <w:lang w:val="pt-PT"/>
              </w:rPr>
              <w:t>Punição corporal das crianças em Angola</w:t>
            </w:r>
          </w:p>
        </w:tc>
      </w:tr>
      <w:tr w:rsidR="00EE2C43" w:rsidRPr="00B75534" w14:paraId="17B03D39" w14:textId="77777777" w:rsidTr="008D5BD9">
        <w:tc>
          <w:tcPr>
            <w:tcW w:w="4962" w:type="dxa"/>
          </w:tcPr>
          <w:p w14:paraId="6BDCAB30" w14:textId="79DA4DBD" w:rsidR="00776D99" w:rsidRDefault="008D5BD9" w:rsidP="00DC4AD5">
            <w:pPr>
              <w:spacing w:before="240"/>
              <w:rPr>
                <w:rFonts w:ascii="Amaranth" w:hAnsi="Amaranth" w:cstheme="minorHAnsi"/>
                <w:szCs w:val="28"/>
                <w:lang w:val="fr-FR"/>
              </w:rPr>
            </w:pPr>
            <w:bookmarkStart w:id="0" w:name="_Toc197483692"/>
            <w:r>
              <w:rPr>
                <w:rFonts w:ascii="Amaranth" w:hAnsi="Amaranth" w:cstheme="minorHAnsi"/>
                <w:szCs w:val="28"/>
                <w:lang w:val="fr-FR"/>
              </w:rPr>
              <w:t>ÚLTIMA ATUALIZAÇÃO :</w:t>
            </w:r>
            <w:r w:rsidRPr="008D5BD9">
              <w:rPr>
                <w:rFonts w:ascii="Amaranth" w:hAnsi="Amaranth" w:cstheme="minorHAnsi"/>
                <w:szCs w:val="28"/>
                <w:lang w:val="fr-FR"/>
              </w:rPr>
              <w:t xml:space="preserve"> junho de 2018</w:t>
            </w:r>
          </w:p>
          <w:p w14:paraId="4B439181" w14:textId="77777777" w:rsidR="008D5BD9" w:rsidRDefault="008D5BD9" w:rsidP="00DC4AD5">
            <w:pPr>
              <w:rPr>
                <w:rFonts w:ascii="Amaranth" w:hAnsi="Amaranth"/>
                <w:lang w:val="fr-FR"/>
              </w:rPr>
            </w:pPr>
            <w:r w:rsidRPr="008D5BD9">
              <w:rPr>
                <w:rFonts w:ascii="Amaranth" w:hAnsi="Amaranth"/>
                <w:lang w:val="fr-FR"/>
              </w:rPr>
              <w:t>Também disponível online em</w:t>
            </w:r>
          </w:p>
          <w:p w14:paraId="6D176AB3" w14:textId="7ACAA5B2" w:rsidR="007E3D40" w:rsidRPr="00B75534" w:rsidRDefault="00207EE8" w:rsidP="00DC4AD5">
            <w:pPr>
              <w:rPr>
                <w:rFonts w:ascii="Amaranth" w:hAnsi="Amaranth" w:cstheme="minorHAnsi"/>
                <w:color w:val="0096A3"/>
                <w:szCs w:val="28"/>
                <w:lang w:val="fr-FR"/>
              </w:rPr>
            </w:pP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310E86E6" w:rsidR="00CD5FFE" w:rsidRPr="008D5BD9" w:rsidRDefault="008D5BD9" w:rsidP="00DC4AD5">
            <w:pPr>
              <w:tabs>
                <w:tab w:val="left" w:pos="8244"/>
                <w:tab w:val="left" w:pos="9160"/>
                <w:tab w:val="left" w:pos="10076"/>
                <w:tab w:val="left" w:pos="10992"/>
                <w:tab w:val="left" w:pos="11908"/>
                <w:tab w:val="left" w:pos="12824"/>
                <w:tab w:val="left" w:pos="13740"/>
                <w:tab w:val="left" w:pos="14656"/>
              </w:tabs>
              <w:rPr>
                <w:rFonts w:ascii="Amaranth" w:hAnsi="Amaranth"/>
                <w:b/>
                <w:sz w:val="23"/>
                <w:szCs w:val="23"/>
                <w:lang w:val="pt-PT"/>
              </w:rPr>
            </w:pPr>
            <w:r w:rsidRPr="008D5BD9">
              <w:rPr>
                <w:rFonts w:ascii="Amaranth" w:hAnsi="Amaranth"/>
                <w:b/>
                <w:sz w:val="23"/>
                <w:szCs w:val="23"/>
                <w:lang w:val="pt-PT"/>
              </w:rPr>
              <w:t xml:space="preserve">População infantil </w:t>
            </w:r>
            <w:r w:rsidRPr="008D5BD9">
              <w:rPr>
                <w:rFonts w:ascii="Amaranth" w:hAnsi="Amaranth"/>
                <w:sz w:val="23"/>
                <w:szCs w:val="23"/>
                <w:lang w:val="pt-PT"/>
              </w:rPr>
              <w:t>13 598 000 (UNICEF, 2015)</w:t>
            </w:r>
          </w:p>
        </w:tc>
        <w:tc>
          <w:tcPr>
            <w:tcW w:w="4960" w:type="dxa"/>
          </w:tcPr>
          <w:p w14:paraId="66A65FA5" w14:textId="77777777" w:rsidR="00CD5FFE" w:rsidRPr="00B75534" w:rsidRDefault="00EE2C43" w:rsidP="001000FE">
            <w:pPr>
              <w:spacing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1000F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1000F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6A2372D"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Amaranth" w:hAnsi="Amaranth" w:cstheme="minorHAnsi"/>
          <w:b/>
          <w:bCs/>
          <w:color w:val="1E3250"/>
          <w:sz w:val="32"/>
          <w:lang w:val="es-MX"/>
        </w:rPr>
      </w:pPr>
      <w:r w:rsidRPr="008D5BD9">
        <w:rPr>
          <w:rFonts w:ascii="Amaranth" w:hAnsi="Amaranth" w:cstheme="minorHAnsi"/>
          <w:b/>
          <w:bCs/>
          <w:color w:val="1E3250"/>
          <w:sz w:val="32"/>
          <w:lang w:val="es-MX"/>
        </w:rPr>
        <w:t xml:space="preserve">Empenho da Angola na proibição da punição corporal </w:t>
      </w:r>
    </w:p>
    <w:p w14:paraId="1CDD5285" w14:textId="070BB559"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es-MX"/>
        </w:rPr>
      </w:pPr>
      <w:r w:rsidRPr="008D5BD9">
        <w:rPr>
          <w:rFonts w:asciiTheme="minorHAnsi" w:hAnsiTheme="minorHAnsi" w:cstheme="minorHAnsi"/>
          <w:bCs/>
          <w:lang w:val="es-MX"/>
        </w:rPr>
        <w:t xml:space="preserve">A Angola expressou o seu empenho em proibir </w:t>
      </w:r>
      <w:proofErr w:type="gramStart"/>
      <w:r w:rsidRPr="008D5BD9">
        <w:rPr>
          <w:rFonts w:asciiTheme="minorHAnsi" w:hAnsiTheme="minorHAnsi" w:cstheme="minorHAnsi"/>
          <w:bCs/>
          <w:lang w:val="es-MX"/>
        </w:rPr>
        <w:t>todas as</w:t>
      </w:r>
      <w:proofErr w:type="gramEnd"/>
      <w:r w:rsidRPr="008D5BD9">
        <w:rPr>
          <w:rFonts w:asciiTheme="minorHAnsi" w:hAnsiTheme="minorHAnsi" w:cstheme="minorHAnsi"/>
          <w:bCs/>
          <w:lang w:val="es-MX"/>
        </w:rPr>
        <w:t xml:space="preserve"> formas de punição corporal de crianças ao aceitar inequivocamente as recomendações para tal efeito que foram feitas aquando da Revisão Periódica Universal em 2014.</w:t>
      </w:r>
    </w:p>
    <w:p w14:paraId="2459C87E"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Amaranth" w:hAnsi="Amaranth" w:cstheme="minorHAnsi"/>
          <w:b/>
          <w:bCs/>
          <w:color w:val="1E3250"/>
          <w:sz w:val="32"/>
          <w:lang w:val="pt-PT"/>
        </w:rPr>
      </w:pPr>
      <w:r w:rsidRPr="008D5BD9">
        <w:rPr>
          <w:rFonts w:ascii="Amaranth" w:hAnsi="Amaranth" w:cstheme="minorHAnsi"/>
          <w:b/>
          <w:bCs/>
          <w:color w:val="1E3250"/>
          <w:sz w:val="32"/>
          <w:lang w:val="pt-PT"/>
        </w:rPr>
        <w:t xml:space="preserve">Resumo da reforma legal necessária para alcançar a proibição total </w:t>
      </w:r>
    </w:p>
    <w:p w14:paraId="236D54A1"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lang w:val="pt-PT"/>
        </w:rPr>
        <w:t xml:space="preserve">A proibição ainda está por alcançar em casas, estabelecimentos de cuidados alternativos, cuidados infantis, escolas e instituições penais. </w:t>
      </w:r>
    </w:p>
    <w:p w14:paraId="34546993"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lang w:val="pt-PT"/>
        </w:rPr>
        <w:t>O artigo 10.º da Lei da Criança de 2012 (“Lei sobre a Protecção e Desenvolvimento Integral da Criança”) prevê o conceito de "correção justificável". A aceitação quase universal de "disciplinar" uma criança através da punição corporal significa que a falta de uma proibição explícita possa ser interpretada como uma defesa do uso da punição corporal.  Esta disposição deveria ser revogada ou alterada de modo a clarificar que nenhuma forma de punição corporal é justificável e que a proibição da punição corporal deveria promulgar-se aos pais e a todas as pessoas com autoridade paternal.</w:t>
      </w:r>
    </w:p>
    <w:p w14:paraId="2562F203"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i/>
          <w:lang w:val="pt-PT"/>
        </w:rPr>
        <w:t xml:space="preserve">Estabelecimentos de cuidados alternativos </w:t>
      </w:r>
      <w:r w:rsidRPr="008D5BD9">
        <w:rPr>
          <w:rFonts w:asciiTheme="minorHAnsi" w:hAnsiTheme="minorHAnsi" w:cstheme="minorHAnsi"/>
          <w:bCs/>
          <w:lang w:val="pt-PT"/>
        </w:rPr>
        <w:t>– A proibição deve ser promulgada na legislação aplicável a todos os estabelecimentos de cuidados alternativos (acolhimento familiar, instituições, locais de segurança, cuidados de emergência, etc.)</w:t>
      </w:r>
    </w:p>
    <w:p w14:paraId="5FEB2D1D"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i/>
          <w:lang w:val="pt-PT"/>
        </w:rPr>
        <w:t>Cuidados infantis</w:t>
      </w:r>
      <w:r w:rsidRPr="008D5BD9">
        <w:rPr>
          <w:rFonts w:asciiTheme="minorHAnsi" w:hAnsiTheme="minorHAnsi" w:cstheme="minorHAnsi"/>
          <w:bCs/>
          <w:lang w:val="pt-PT"/>
        </w:rPr>
        <w:t xml:space="preserve"> – A punição corporal deve ser proibida em todos os estabelecimentos de cuidados infantis, seja para crianças pequenas (creches, infantários, pré-escolas, centros de família, etc.), seja para as mais crescidas (OTL, centros de estudo, babysitting, etc.)</w:t>
      </w:r>
    </w:p>
    <w:p w14:paraId="5C2E8B13"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i/>
          <w:lang w:val="pt-PT"/>
        </w:rPr>
        <w:t>Escolas</w:t>
      </w:r>
      <w:r w:rsidRPr="008D5BD9">
        <w:rPr>
          <w:rFonts w:asciiTheme="minorHAnsi" w:hAnsiTheme="minorHAnsi" w:cstheme="minorHAnsi"/>
          <w:bCs/>
          <w:lang w:val="pt-PT"/>
        </w:rPr>
        <w:t xml:space="preserve"> – A legislação deve proibir a punição corporal em todos os estabelecimentos de ensino, públicos ou privados.</w:t>
      </w:r>
    </w:p>
    <w:p w14:paraId="009A3411" w14:textId="77777777" w:rsidR="008D5BD9" w:rsidRPr="008D5BD9" w:rsidRDefault="008D5BD9" w:rsidP="001000FE">
      <w:pPr>
        <w:pBdr>
          <w:top w:val="single" w:sz="24" w:space="14" w:color="0096A3"/>
          <w:left w:val="single" w:sz="24" w:space="10" w:color="0096A3"/>
          <w:bottom w:val="single" w:sz="24" w:space="14" w:color="0096A3"/>
          <w:right w:val="single" w:sz="24" w:space="10" w:color="0096A3"/>
        </w:pBdr>
        <w:spacing w:after="120"/>
        <w:rPr>
          <w:rFonts w:asciiTheme="minorHAnsi" w:hAnsiTheme="minorHAnsi" w:cstheme="minorHAnsi"/>
          <w:bCs/>
          <w:lang w:val="pt-PT"/>
        </w:rPr>
      </w:pPr>
      <w:r w:rsidRPr="008D5BD9">
        <w:rPr>
          <w:rFonts w:asciiTheme="minorHAnsi" w:hAnsiTheme="minorHAnsi" w:cstheme="minorHAnsi"/>
          <w:bCs/>
          <w:i/>
          <w:lang w:val="pt-PT"/>
        </w:rPr>
        <w:t xml:space="preserve">Instituições penais </w:t>
      </w:r>
      <w:r w:rsidRPr="008D5BD9">
        <w:rPr>
          <w:rFonts w:asciiTheme="minorHAnsi" w:hAnsiTheme="minorHAnsi" w:cstheme="minorHAnsi"/>
          <w:bCs/>
          <w:lang w:val="pt-PT"/>
        </w:rPr>
        <w:t>– A proibição da punição corporal como medida disciplinar deve ser promulgada em todas as instituições que recebam crianças em conflito com a lei.</w:t>
      </w:r>
    </w:p>
    <w:p w14:paraId="6648DF5A" w14:textId="77777777" w:rsidR="00674645" w:rsidRPr="00B75534" w:rsidRDefault="00674645" w:rsidP="001000F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1000FE">
      <w:pPr>
        <w:spacing w:after="120"/>
        <w:rPr>
          <w:lang w:val="fr-FR"/>
        </w:rPr>
      </w:pPr>
      <w:r w:rsidRPr="00B75534">
        <w:rPr>
          <w:lang w:val="fr-FR"/>
        </w:rPr>
        <w:br w:type="page"/>
      </w:r>
    </w:p>
    <w:p w14:paraId="772B62DC" w14:textId="77777777" w:rsidR="002907B9" w:rsidRPr="002907B9" w:rsidRDefault="002907B9" w:rsidP="001000FE">
      <w:pPr>
        <w:pStyle w:val="Heading3"/>
        <w:spacing w:before="0" w:after="120"/>
        <w:rPr>
          <w:rFonts w:ascii="Amaranth" w:hAnsi="Amaranth" w:cstheme="minorHAnsi"/>
          <w:sz w:val="28"/>
          <w:szCs w:val="28"/>
          <w:lang w:val="pt-PT"/>
        </w:rPr>
      </w:pPr>
      <w:r w:rsidRPr="002907B9">
        <w:rPr>
          <w:rFonts w:ascii="Amaranth" w:hAnsi="Amaranth" w:cstheme="minorHAnsi"/>
          <w:sz w:val="28"/>
          <w:szCs w:val="28"/>
          <w:lang w:val="pt-PT"/>
        </w:rPr>
        <w:lastRenderedPageBreak/>
        <w:t>Legalidade atual da punição corporal</w:t>
      </w:r>
    </w:p>
    <w:p w14:paraId="27AAC0C5" w14:textId="17B3B297" w:rsidR="002907B9" w:rsidRPr="002907B9" w:rsidRDefault="002907B9" w:rsidP="001000FE">
      <w:pPr>
        <w:spacing w:after="120"/>
        <w:rPr>
          <w:rFonts w:ascii="Amaranth" w:hAnsi="Amaranth" w:cstheme="minorHAnsi"/>
          <w:b/>
          <w:bCs/>
          <w:lang w:val="es-MX"/>
        </w:rPr>
      </w:pPr>
      <w:r>
        <w:rPr>
          <w:rFonts w:ascii="Amaranth" w:hAnsi="Amaranth" w:cstheme="minorHAnsi"/>
          <w:b/>
          <w:bCs/>
          <w:lang w:val="es-MX"/>
        </w:rPr>
        <w:t>Casa</w:t>
      </w:r>
    </w:p>
    <w:p w14:paraId="5CB20315"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 xml:space="preserve">A punição corporal é legal em casa.  Uma série de novas leis foi promulgada, mas nenhuma proíbe a punição corporal das crianças.  A Lei Infantil de 2012  declara que a criança "não deve ser tratada de forma negligente, discriminatória, violenta ou cruel” (art.º 7.º), que é dever de todo o cidadão “zelar pela dignidade da criança, protegendo-a de qualquer tratamento desumano, cruel, violento, exploratório, humilhante, constrangedor, discriminatório ou que de qualquer outra forma atente contra a dignidade e integridade da criança” (art.º 8.º) e que “com a salvaguarda do direito ao respeito à dignidade e integridade, física, psíquica e moral, a criança tem direito a ser orientada e disciplinada em função da sua idade, condição física e mental, não sendo justificável nenhuma medida correctiva se, em razão da sua tenra idade ou por outras razões, a criança for incapaz de compreender o propósito da medida” (art.º 10.º). A lei não proíbe a punição corporal em casa nem em qualquer outro sítio. </w:t>
      </w:r>
    </w:p>
    <w:p w14:paraId="342D1B57"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 xml:space="preserve">A "Lei Contra a Violência Doméstica" de 2010 aplica-se "aos factos ocorridos no seio familiar ou outro que, por razões de proximidade, afecto, relações naturais e de educação, tenham lugar, em especial: a) nos infantários; b) nos asilos para idosos; c) nos hospitais; d) nas escolas; e) nos internatos femininos ou masculinos; f) nos espaços equiparados de relevante interesse comunitário ou social." O artigo 3.º define a violência doméstica como "toda a acção ou omissão que cause lesão ou deformação física e dano psicológico temporário ou permanente" e a violência física como "toda a conduta que ofenda a integridade ou a saúde corporal da pessoa". Tal faz da punição corporal com alguma gravidade ilegal, mas não proíbe efetivamente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sem exceção, na educação infantil e no ensino. As disposições no Código da Família sobre os deveres e direitos parentais não proíbem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na educação de uma criança.</w:t>
      </w:r>
    </w:p>
    <w:p w14:paraId="417EA2DC"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O artigo 36.º da Constituição de 2010 protege o direito de todo o cidadão de "não ser sujeito a quaisquer formas de violência por entidades públicas ou privadas", "não ser torturado nem tratado ou punido de maneira cruel, desumana ou degradante" e de "usufruir plenamente da sua integridade física e psíquica"; o artigo 60.º reitera que "ninguém pode ser submetido a tortura, a trabalhos nem a tratamentos ou penas cruéis, desumanas ou degradantes". No entanto, não há nenhuma confirmação explícita do direito das crianças a não serem sujeitas a qualquer forma de punição corporal: o artigo 80.º sobre a Infância confirma somente a proteção contra o "exercício abusivo de autoridade".</w:t>
      </w:r>
    </w:p>
    <w:p w14:paraId="323AABFD"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 xml:space="preserve">O Código Penal pune a crueldade habitual contra as crianças, mas não proíbe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(art.º 157.º). O Código encontra-se a ser revisto: um projeto preliminar do novo Código punia a violência e o tratamento cruel das crianças, mas não incluía a proibição de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em casa ou noutro local. O Código de Processo Penal e o Código da Família também estão a ser revistos:  não sabemos se a proibição terá sido proposta neste contexto.</w:t>
      </w:r>
    </w:p>
    <w:p w14:paraId="0FE4C921"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 xml:space="preserve">A Angola assinalou o seu empenho em reformar a lei para proibir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ao aceitar claramente as recomendações para tal efeito feitas aquando da Revisão Periódica Universal em 2014.  No entanto, reportou ao Comité dos Direitos da Criança em 2018 que </w:t>
      </w:r>
      <w:proofErr w:type="gramStart"/>
      <w:r w:rsidRPr="002907B9">
        <w:rPr>
          <w:rFonts w:asciiTheme="minorHAnsi" w:hAnsiTheme="minorHAnsi" w:cstheme="minorHAnsi"/>
          <w:bCs/>
          <w:lang w:val="es-MX"/>
        </w:rPr>
        <w:t>todas as</w:t>
      </w:r>
      <w:proofErr w:type="gramEnd"/>
      <w:r w:rsidRPr="002907B9">
        <w:rPr>
          <w:rFonts w:asciiTheme="minorHAnsi" w:hAnsiTheme="minorHAnsi" w:cstheme="minorHAnsi"/>
          <w:bCs/>
          <w:lang w:val="es-MX"/>
        </w:rPr>
        <w:t xml:space="preserve"> formas de punição corporal das crianças “quando realizadas por um oficial em qualquer estabelecimento” eram já criminalizadas sob as disposições para agressão. </w:t>
      </w:r>
    </w:p>
    <w:p w14:paraId="57049DA6" w14:textId="77777777" w:rsidR="002907B9" w:rsidRPr="002907B9" w:rsidRDefault="002907B9" w:rsidP="001000FE">
      <w:pPr>
        <w:spacing w:after="120"/>
        <w:rPr>
          <w:rFonts w:ascii="Amaranth" w:hAnsi="Amaranth" w:cstheme="minorHAnsi"/>
          <w:b/>
          <w:bCs/>
          <w:lang w:val="es-MX"/>
        </w:rPr>
      </w:pPr>
    </w:p>
    <w:p w14:paraId="6720DF04" w14:textId="77777777" w:rsidR="002907B9" w:rsidRPr="002907B9" w:rsidRDefault="002907B9" w:rsidP="001000FE">
      <w:pPr>
        <w:spacing w:after="120"/>
        <w:rPr>
          <w:rFonts w:ascii="Amaranth" w:hAnsi="Amaranth" w:cstheme="minorHAnsi"/>
          <w:b/>
          <w:bCs/>
          <w:lang w:val="es-MX"/>
        </w:rPr>
      </w:pPr>
      <w:r w:rsidRPr="002907B9">
        <w:rPr>
          <w:rFonts w:ascii="Amaranth" w:hAnsi="Amaranth" w:cstheme="minorHAnsi"/>
          <w:b/>
          <w:bCs/>
          <w:lang w:val="es-MX"/>
        </w:rPr>
        <w:t>Estabelecimentos de cuidados alternativos</w:t>
      </w:r>
    </w:p>
    <w:p w14:paraId="73188400" w14:textId="5154B053"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A punição corporal é legal em estabelecimentos de cuidados alternativos.  A punição corporal com alguma gravidade é ilegal segundo a Lei contra a Violência Doméstica de 2010 e é oferecida proteção limitada pela Lei</w:t>
      </w:r>
      <w:r>
        <w:rPr>
          <w:rFonts w:asciiTheme="minorHAnsi" w:hAnsiTheme="minorHAnsi" w:cstheme="minorHAnsi"/>
          <w:bCs/>
          <w:lang w:val="es-MX"/>
        </w:rPr>
        <w:t xml:space="preserve"> da Criança de 2012 (ver "Casa</w:t>
      </w:r>
      <w:r w:rsidRPr="002907B9">
        <w:rPr>
          <w:rFonts w:asciiTheme="minorHAnsi" w:hAnsiTheme="minorHAnsi" w:cstheme="minorHAnsi"/>
          <w:bCs/>
          <w:lang w:val="es-MX"/>
        </w:rPr>
        <w:t>"), mas não há uma proibição explícita de tal punição se for mais leve.</w:t>
      </w:r>
    </w:p>
    <w:p w14:paraId="0E8CF541" w14:textId="77777777" w:rsidR="002907B9" w:rsidRPr="002907B9" w:rsidRDefault="002907B9" w:rsidP="001000FE">
      <w:pPr>
        <w:spacing w:after="120"/>
        <w:rPr>
          <w:rFonts w:ascii="Amaranth" w:hAnsi="Amaranth" w:cstheme="minorHAnsi"/>
          <w:b/>
          <w:bCs/>
          <w:lang w:val="es-MX"/>
        </w:rPr>
      </w:pPr>
    </w:p>
    <w:p w14:paraId="50A97ED3" w14:textId="77777777" w:rsidR="002907B9" w:rsidRPr="002907B9" w:rsidRDefault="002907B9" w:rsidP="001000FE">
      <w:pPr>
        <w:spacing w:after="120"/>
        <w:rPr>
          <w:rFonts w:ascii="Amaranth" w:hAnsi="Amaranth" w:cstheme="minorHAnsi"/>
          <w:b/>
          <w:bCs/>
          <w:lang w:val="es-MX"/>
        </w:rPr>
      </w:pPr>
      <w:r w:rsidRPr="002907B9">
        <w:rPr>
          <w:rFonts w:ascii="Amaranth" w:hAnsi="Amaranth" w:cstheme="minorHAnsi"/>
          <w:b/>
          <w:bCs/>
          <w:lang w:val="es-MX"/>
        </w:rPr>
        <w:t xml:space="preserve">Cuidados infantis </w:t>
      </w:r>
    </w:p>
    <w:p w14:paraId="1173580C" w14:textId="16C6A5F9"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A punição corporal é legal nos estabelecimentos de cuidados infantis.  A punição corporal com alguma gravidade é ilegal segundo a Lei contra a Violência Doméstica de 2010 e é oferecida proteção limitada pela Lei</w:t>
      </w:r>
      <w:r w:rsidR="00F708F0">
        <w:rPr>
          <w:rFonts w:asciiTheme="minorHAnsi" w:hAnsiTheme="minorHAnsi" w:cstheme="minorHAnsi"/>
          <w:bCs/>
          <w:lang w:val="es-MX"/>
        </w:rPr>
        <w:t xml:space="preserve"> da Criança de 2012 (ver "Casa</w:t>
      </w:r>
      <w:r w:rsidRPr="002907B9">
        <w:rPr>
          <w:rFonts w:asciiTheme="minorHAnsi" w:hAnsiTheme="minorHAnsi" w:cstheme="minorHAnsi"/>
          <w:bCs/>
          <w:lang w:val="es-MX"/>
        </w:rPr>
        <w:t>"), mas não há uma proibição explícita de tal punição se for mais leve.</w:t>
      </w:r>
    </w:p>
    <w:p w14:paraId="11056D59" w14:textId="77777777" w:rsidR="002907B9" w:rsidRPr="002907B9" w:rsidRDefault="002907B9" w:rsidP="001000FE">
      <w:pPr>
        <w:spacing w:after="120"/>
        <w:rPr>
          <w:rFonts w:ascii="Amaranth" w:hAnsi="Amaranth" w:cstheme="minorHAnsi"/>
          <w:b/>
          <w:bCs/>
          <w:lang w:val="es-MX"/>
        </w:rPr>
      </w:pPr>
    </w:p>
    <w:p w14:paraId="1840B086" w14:textId="77777777" w:rsidR="002907B9" w:rsidRPr="002907B9" w:rsidRDefault="002907B9" w:rsidP="001000FE">
      <w:pPr>
        <w:spacing w:after="120"/>
        <w:rPr>
          <w:rFonts w:ascii="Amaranth" w:hAnsi="Amaranth" w:cstheme="minorHAnsi"/>
          <w:b/>
          <w:bCs/>
          <w:lang w:val="es-MX"/>
        </w:rPr>
      </w:pPr>
      <w:r w:rsidRPr="002907B9">
        <w:rPr>
          <w:rFonts w:ascii="Amaranth" w:hAnsi="Amaranth" w:cstheme="minorHAnsi"/>
          <w:b/>
          <w:bCs/>
          <w:lang w:val="es-MX"/>
        </w:rPr>
        <w:t>Escolas</w:t>
      </w:r>
    </w:p>
    <w:p w14:paraId="04C0B935" w14:textId="0E77DDE4"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A punição corporal não é proibida nas escolas. A punição corporal com alguma gravidade é possivelmente ilegal segundo a Lei contra a Violência Doméstica de 2010 e é oferecida proteção limitada pela Lei</w:t>
      </w:r>
      <w:r w:rsidR="00F708F0">
        <w:rPr>
          <w:rFonts w:asciiTheme="minorHAnsi" w:hAnsiTheme="minorHAnsi" w:cstheme="minorHAnsi"/>
          <w:bCs/>
          <w:lang w:val="es-MX"/>
        </w:rPr>
        <w:t xml:space="preserve"> da Criança de 2012 (ver "Casa</w:t>
      </w:r>
      <w:r w:rsidRPr="002907B9">
        <w:rPr>
          <w:rFonts w:asciiTheme="minorHAnsi" w:hAnsiTheme="minorHAnsi" w:cstheme="minorHAnsi"/>
          <w:bCs/>
          <w:lang w:val="es-MX"/>
        </w:rPr>
        <w:t xml:space="preserve">"), mas não há uma proibição explícita. A Lei sobre Educação de 2001 é omissa no que se refere a este assunto. Foram votadas alterações em 2016, mas não pareciam tratar a punição corporal. </w:t>
      </w:r>
    </w:p>
    <w:p w14:paraId="708DE664" w14:textId="77777777" w:rsidR="002907B9" w:rsidRPr="002907B9" w:rsidRDefault="002907B9" w:rsidP="001000FE">
      <w:pPr>
        <w:spacing w:after="120"/>
        <w:rPr>
          <w:rFonts w:ascii="Amaranth" w:hAnsi="Amaranth" w:cstheme="minorHAnsi"/>
          <w:b/>
          <w:bCs/>
          <w:lang w:val="es-MX"/>
        </w:rPr>
      </w:pPr>
    </w:p>
    <w:p w14:paraId="0ECC76C1" w14:textId="77777777" w:rsidR="002907B9" w:rsidRPr="002907B9" w:rsidRDefault="002907B9" w:rsidP="001000FE">
      <w:pPr>
        <w:spacing w:after="120"/>
        <w:rPr>
          <w:rFonts w:ascii="Amaranth" w:hAnsi="Amaranth" w:cstheme="minorHAnsi"/>
          <w:b/>
          <w:bCs/>
          <w:lang w:val="es-MX"/>
        </w:rPr>
      </w:pPr>
      <w:r w:rsidRPr="002907B9">
        <w:rPr>
          <w:rFonts w:ascii="Amaranth" w:hAnsi="Amaranth" w:cstheme="minorHAnsi"/>
          <w:b/>
          <w:bCs/>
          <w:lang w:val="es-MX"/>
        </w:rPr>
        <w:t>Instituições penais</w:t>
      </w:r>
    </w:p>
    <w:p w14:paraId="54F4774B" w14:textId="77777777" w:rsidR="002907B9" w:rsidRPr="002907B9"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Não há uma proibição explícita da punição corporal como medida disciplinar nas instituições penais.</w:t>
      </w:r>
    </w:p>
    <w:p w14:paraId="41916664" w14:textId="77777777" w:rsidR="002907B9" w:rsidRPr="002907B9" w:rsidRDefault="002907B9" w:rsidP="001000FE">
      <w:pPr>
        <w:spacing w:after="120"/>
        <w:rPr>
          <w:rFonts w:ascii="Amaranth" w:hAnsi="Amaranth" w:cstheme="minorHAnsi"/>
          <w:b/>
          <w:bCs/>
          <w:lang w:val="es-MX"/>
        </w:rPr>
      </w:pPr>
    </w:p>
    <w:p w14:paraId="0211E49F" w14:textId="77777777" w:rsidR="002907B9" w:rsidRPr="002907B9" w:rsidRDefault="002907B9" w:rsidP="001000FE">
      <w:pPr>
        <w:spacing w:after="120"/>
        <w:rPr>
          <w:rFonts w:ascii="Amaranth" w:hAnsi="Amaranth" w:cstheme="minorHAnsi"/>
          <w:b/>
          <w:bCs/>
          <w:lang w:val="es-MX"/>
        </w:rPr>
      </w:pPr>
      <w:r w:rsidRPr="002907B9">
        <w:rPr>
          <w:rFonts w:ascii="Amaranth" w:hAnsi="Amaranth" w:cstheme="minorHAnsi"/>
          <w:b/>
          <w:bCs/>
          <w:lang w:val="es-MX"/>
        </w:rPr>
        <w:t xml:space="preserve">Sentença por crime </w:t>
      </w:r>
    </w:p>
    <w:p w14:paraId="33F52FAD" w14:textId="0D0B3A41" w:rsidR="00C25080" w:rsidRDefault="002907B9" w:rsidP="001000FE">
      <w:pPr>
        <w:spacing w:after="120"/>
        <w:rPr>
          <w:rFonts w:asciiTheme="minorHAnsi" w:hAnsiTheme="minorHAnsi" w:cstheme="minorHAnsi"/>
          <w:bCs/>
          <w:lang w:val="es-MX"/>
        </w:rPr>
      </w:pPr>
      <w:r w:rsidRPr="002907B9">
        <w:rPr>
          <w:rFonts w:asciiTheme="minorHAnsi" w:hAnsiTheme="minorHAnsi" w:cstheme="minorHAnsi"/>
          <w:bCs/>
          <w:lang w:val="es-MX"/>
        </w:rPr>
        <w:t>A punição corporal é ilegal enquanto sentença por crime segundo o Código Penal, a Lei do Tribunal de Menores de 1996 e o Código de Processo do Tribunal de Menores, que não apresenta qualquer disposição sobre punição corporal judicial. Aplica-se a proibição constitucional de tratamentos cruéis, desumanos e degradante</w:t>
      </w:r>
      <w:r w:rsidR="00F708F0">
        <w:rPr>
          <w:rFonts w:asciiTheme="minorHAnsi" w:hAnsiTheme="minorHAnsi" w:cstheme="minorHAnsi"/>
          <w:bCs/>
          <w:lang w:val="es-MX"/>
        </w:rPr>
        <w:t>s a qualquer pessoa (ver "Casa</w:t>
      </w:r>
      <w:r w:rsidRPr="002907B9">
        <w:rPr>
          <w:rFonts w:asciiTheme="minorHAnsi" w:hAnsiTheme="minorHAnsi" w:cstheme="minorHAnsi"/>
          <w:bCs/>
          <w:lang w:val="es-MX"/>
        </w:rPr>
        <w:t>").</w:t>
      </w:r>
    </w:p>
    <w:p w14:paraId="2A966D14" w14:textId="77777777" w:rsidR="002907B9" w:rsidRPr="002907B9" w:rsidRDefault="002907B9" w:rsidP="001000FE">
      <w:pPr>
        <w:spacing w:after="120"/>
        <w:rPr>
          <w:rFonts w:asciiTheme="minorHAnsi" w:hAnsiTheme="minorHAnsi" w:cstheme="minorHAnsi"/>
          <w:lang w:val="fr-FR"/>
        </w:rPr>
      </w:pPr>
    </w:p>
    <w:p w14:paraId="39417846" w14:textId="77777777" w:rsidR="007C1BA5" w:rsidRPr="007C1BA5" w:rsidRDefault="007C1BA5" w:rsidP="001000FE">
      <w:pPr>
        <w:keepNext/>
        <w:spacing w:after="120"/>
        <w:outlineLvl w:val="1"/>
        <w:rPr>
          <w:rFonts w:ascii="Amaranth" w:hAnsi="Amaranth"/>
          <w:b/>
          <w:bCs/>
          <w:sz w:val="28"/>
          <w:lang w:val="pt-PT"/>
        </w:rPr>
      </w:pPr>
      <w:r w:rsidRPr="007C1BA5">
        <w:rPr>
          <w:rFonts w:ascii="Amaranth" w:hAnsi="Amaranth"/>
          <w:b/>
          <w:bCs/>
          <w:sz w:val="28"/>
          <w:lang w:val="pt-PT"/>
        </w:rPr>
        <w:t>Revisão Periódica Universal do registo dos Direitos Humanos em Angola</w:t>
      </w:r>
    </w:p>
    <w:p w14:paraId="1FAFE8FA" w14:textId="77777777" w:rsidR="007C1BA5" w:rsidRPr="007C1BA5" w:rsidRDefault="007C1BA5" w:rsidP="001000FE">
      <w:pPr>
        <w:spacing w:after="120"/>
        <w:rPr>
          <w:rFonts w:asciiTheme="minorHAnsi" w:hAnsiTheme="minorHAnsi"/>
          <w:lang w:val="pt-PT"/>
        </w:rPr>
      </w:pPr>
      <w:r w:rsidRPr="007C1BA5">
        <w:rPr>
          <w:rFonts w:asciiTheme="minorHAnsi" w:hAnsiTheme="minorHAnsi"/>
          <w:lang w:val="pt-PT"/>
        </w:rPr>
        <w:t>A Angola foi examinada no primeiro ciclo da Revisão Periódica Universal em 2010 (7.ª sessão).  Não foram feitas recomendações sobre a punição corporal de crianças. No entanto, as seguintes propostas foram feitas e foram aceites pelo governo:</w:t>
      </w:r>
      <w:r w:rsidRPr="007C1BA5">
        <w:rPr>
          <w:rFonts w:asciiTheme="minorHAnsi" w:hAnsiTheme="minorHAnsi"/>
          <w:vertAlign w:val="superscript"/>
          <w:lang w:val="pt-PT"/>
        </w:rPr>
        <w:footnoteReference w:id="2"/>
      </w:r>
    </w:p>
    <w:p w14:paraId="3A899211" w14:textId="77777777" w:rsidR="007C1BA5" w:rsidRPr="007C1BA5" w:rsidRDefault="007C1BA5" w:rsidP="001000FE">
      <w:pPr>
        <w:spacing w:after="120"/>
        <w:ind w:left="720"/>
        <w:rPr>
          <w:rFonts w:asciiTheme="minorHAnsi" w:eastAsia="Calibri" w:hAnsiTheme="minorHAnsi"/>
          <w:lang w:val="pt-PT"/>
        </w:rPr>
      </w:pPr>
      <w:r w:rsidRPr="007C1BA5">
        <w:rPr>
          <w:rFonts w:asciiTheme="minorHAnsi" w:eastAsia="Calibri" w:hAnsiTheme="minorHAnsi"/>
          <w:lang w:val="pt-PT"/>
        </w:rPr>
        <w:t xml:space="preserve">"Adaptar a legislação interna ao quadro de leis internacional (Chade); </w:t>
      </w:r>
    </w:p>
    <w:p w14:paraId="4AB56872" w14:textId="77777777" w:rsidR="007C1BA5" w:rsidRPr="007C1BA5" w:rsidRDefault="007C1BA5" w:rsidP="001000FE">
      <w:pPr>
        <w:autoSpaceDE w:val="0"/>
        <w:autoSpaceDN w:val="0"/>
        <w:adjustRightInd w:val="0"/>
        <w:spacing w:after="120"/>
        <w:ind w:left="720"/>
        <w:rPr>
          <w:rFonts w:asciiTheme="minorHAnsi" w:eastAsia="Calibri" w:hAnsiTheme="minorHAnsi"/>
          <w:lang w:val="pt-PT"/>
        </w:rPr>
      </w:pPr>
      <w:r w:rsidRPr="007C1BA5">
        <w:rPr>
          <w:rFonts w:asciiTheme="minorHAnsi" w:eastAsia="Calibri" w:hAnsiTheme="minorHAnsi"/>
          <w:lang w:val="pt-PT"/>
        </w:rPr>
        <w:t xml:space="preserve">"Fortalecer e intensificar as ações de prevenção e redução da violência contra as crianças (Portugal); </w:t>
      </w:r>
    </w:p>
    <w:p w14:paraId="2C74C830" w14:textId="77777777" w:rsidR="007C1BA5" w:rsidRPr="007C1BA5" w:rsidRDefault="007C1BA5" w:rsidP="001000FE">
      <w:pPr>
        <w:autoSpaceDE w:val="0"/>
        <w:autoSpaceDN w:val="0"/>
        <w:adjustRightInd w:val="0"/>
        <w:spacing w:after="120"/>
        <w:ind w:left="720"/>
        <w:rPr>
          <w:rFonts w:asciiTheme="minorHAnsi" w:eastAsia="Calibri" w:hAnsiTheme="minorHAnsi"/>
          <w:lang w:val="pt-PT"/>
        </w:rPr>
      </w:pPr>
      <w:r w:rsidRPr="007C1BA5">
        <w:rPr>
          <w:rFonts w:asciiTheme="minorHAnsi" w:eastAsia="Calibri" w:hAnsiTheme="minorHAnsi"/>
          <w:lang w:val="pt-PT"/>
        </w:rPr>
        <w:t xml:space="preserve">"Tomar prontamente as acções necessárias para combater o fenómeno negativo da violência contra as crianças, e providenciar esquemas de reabilitação e reintegração eficientes às vítimas (Eslováquia); </w:t>
      </w:r>
    </w:p>
    <w:p w14:paraId="1730AD0F" w14:textId="77777777" w:rsidR="007C1BA5" w:rsidRPr="007C1BA5" w:rsidRDefault="007C1BA5" w:rsidP="001000FE">
      <w:pPr>
        <w:spacing w:after="120"/>
        <w:ind w:left="720"/>
        <w:rPr>
          <w:rFonts w:asciiTheme="minorHAnsi" w:eastAsia="Calibri" w:hAnsiTheme="minorHAnsi"/>
          <w:lang w:val="pt-PT"/>
        </w:rPr>
      </w:pPr>
      <w:r w:rsidRPr="007C1BA5">
        <w:rPr>
          <w:rFonts w:asciiTheme="minorHAnsi" w:eastAsia="Calibri" w:hAnsiTheme="minorHAnsi"/>
          <w:lang w:val="pt-PT"/>
        </w:rPr>
        <w:t xml:space="preserve">"Fortalecer os esforços no cumprimento das obrigações segundo a Convenção Internacional sobre os Direitos da Criança (Austrália)." </w:t>
      </w:r>
    </w:p>
    <w:p w14:paraId="416BE733" w14:textId="77777777" w:rsidR="007C1BA5" w:rsidRPr="007C1BA5" w:rsidRDefault="007C1BA5" w:rsidP="001000FE">
      <w:pPr>
        <w:spacing w:after="120"/>
        <w:rPr>
          <w:rFonts w:asciiTheme="minorHAnsi" w:hAnsiTheme="minorHAnsi"/>
          <w:lang w:val="pt-PT"/>
        </w:rPr>
      </w:pPr>
      <w:r w:rsidRPr="007C1BA5">
        <w:rPr>
          <w:rFonts w:asciiTheme="minorHAnsi" w:hAnsiTheme="minorHAnsi"/>
          <w:lang w:val="pt-PT"/>
        </w:rPr>
        <w:t>O exame no segundo ciclo teve lugar em 2014 (20.ª sessão).  As seguintes propostas foram feitas e foram aceitas pelo governo:</w:t>
      </w:r>
      <w:r w:rsidRPr="007C1BA5">
        <w:rPr>
          <w:rFonts w:asciiTheme="minorHAnsi" w:hAnsiTheme="minorHAnsi"/>
          <w:vertAlign w:val="superscript"/>
          <w:lang w:val="pt-PT"/>
        </w:rPr>
        <w:footnoteReference w:id="3"/>
      </w:r>
    </w:p>
    <w:p w14:paraId="639165B1" w14:textId="77777777" w:rsidR="007C1BA5" w:rsidRPr="007C1BA5" w:rsidRDefault="007C1BA5" w:rsidP="001000FE">
      <w:pPr>
        <w:widowControl w:val="0"/>
        <w:autoSpaceDE w:val="0"/>
        <w:autoSpaceDN w:val="0"/>
        <w:adjustRightInd w:val="0"/>
        <w:spacing w:after="120"/>
        <w:ind w:left="720"/>
        <w:rPr>
          <w:rFonts w:asciiTheme="minorHAnsi" w:eastAsia="Calibri" w:hAnsiTheme="minorHAnsi"/>
          <w:lang w:val="pt-PT"/>
        </w:rPr>
      </w:pPr>
      <w:r w:rsidRPr="007C1BA5">
        <w:rPr>
          <w:rFonts w:asciiTheme="minorHAnsi" w:eastAsia="Calibri" w:hAnsiTheme="minorHAnsi"/>
          <w:lang w:val="pt-PT"/>
        </w:rPr>
        <w:t xml:space="preserve">"Proibir explicitamente todas as formas de punição corporal na criação e educação das </w:t>
      </w:r>
      <w:r w:rsidRPr="007C1BA5">
        <w:rPr>
          <w:rFonts w:asciiTheme="minorHAnsi" w:eastAsia="Calibri" w:hAnsiTheme="minorHAnsi"/>
          <w:lang w:val="pt-PT"/>
        </w:rPr>
        <w:lastRenderedPageBreak/>
        <w:t xml:space="preserve">crianças (Uruguai); </w:t>
      </w:r>
    </w:p>
    <w:p w14:paraId="5BF73328" w14:textId="77777777" w:rsidR="007C1BA5" w:rsidRPr="007C1BA5" w:rsidRDefault="007C1BA5" w:rsidP="001000FE">
      <w:pPr>
        <w:spacing w:after="120"/>
        <w:ind w:left="720"/>
        <w:rPr>
          <w:rFonts w:asciiTheme="minorHAnsi" w:hAnsiTheme="minorHAnsi"/>
          <w:lang w:val="pt-PT"/>
        </w:rPr>
      </w:pPr>
      <w:r w:rsidRPr="007C1BA5">
        <w:rPr>
          <w:rFonts w:asciiTheme="minorHAnsi" w:eastAsia="Calibri" w:hAnsiTheme="minorHAnsi"/>
          <w:lang w:val="pt-PT"/>
        </w:rPr>
        <w:t>"Continuar a fortalecer os esforços no sentido de eliminar todos os tipos de violência contra as crianças, incluindo através da criminalização da punição corporal (Portugal)"</w:t>
      </w:r>
    </w:p>
    <w:p w14:paraId="4234A62D" w14:textId="77777777" w:rsidR="00977A67" w:rsidRPr="00B75534" w:rsidRDefault="00977A67" w:rsidP="001000FE">
      <w:pPr>
        <w:spacing w:after="120"/>
        <w:rPr>
          <w:rFonts w:asciiTheme="minorHAnsi" w:hAnsiTheme="minorHAnsi" w:cstheme="minorHAnsi"/>
          <w:b/>
          <w:sz w:val="28"/>
          <w:szCs w:val="28"/>
          <w:u w:val="single"/>
          <w:lang w:val="fr-FR"/>
        </w:rPr>
      </w:pPr>
    </w:p>
    <w:p w14:paraId="54E5C46D" w14:textId="77777777" w:rsidR="00EA0007" w:rsidRPr="00EA0007" w:rsidRDefault="00EA0007" w:rsidP="001000FE">
      <w:pPr>
        <w:spacing w:after="120"/>
        <w:rPr>
          <w:rFonts w:ascii="Amaranth" w:hAnsi="Amaranth" w:cstheme="minorHAnsi"/>
          <w:b/>
          <w:bCs/>
          <w:sz w:val="28"/>
          <w:szCs w:val="28"/>
          <w:lang w:val="pt-PT"/>
        </w:rPr>
      </w:pPr>
      <w:bookmarkStart w:id="1" w:name="_Toc197483520"/>
      <w:r w:rsidRPr="00EA0007">
        <w:rPr>
          <w:rFonts w:ascii="Amaranth" w:hAnsi="Amaranth" w:cstheme="minorHAnsi"/>
          <w:b/>
          <w:bCs/>
          <w:sz w:val="28"/>
          <w:szCs w:val="28"/>
          <w:lang w:val="pt-PT"/>
        </w:rPr>
        <w:t>Recomendações dos órgãos de tratados sobre Direitos humanos</w:t>
      </w:r>
      <w:bookmarkEnd w:id="1"/>
    </w:p>
    <w:p w14:paraId="4AA35445" w14:textId="77777777" w:rsidR="00EA0007" w:rsidRPr="00EA0007" w:rsidRDefault="00EA0007" w:rsidP="001000FE">
      <w:pPr>
        <w:spacing w:after="120"/>
        <w:rPr>
          <w:rFonts w:ascii="Amaranth" w:hAnsi="Amaranth" w:cstheme="minorHAnsi"/>
          <w:b/>
          <w:bCs/>
        </w:rPr>
      </w:pPr>
      <w:r w:rsidRPr="00EA0007">
        <w:rPr>
          <w:rFonts w:ascii="Amaranth" w:hAnsi="Amaranth" w:cstheme="minorHAnsi"/>
          <w:b/>
          <w:bCs/>
          <w:i/>
          <w:lang w:val="pt-PT"/>
        </w:rPr>
        <w:t>Comité dos Direitos da Criança</w:t>
      </w:r>
      <w:r w:rsidRPr="00EA0007">
        <w:rPr>
          <w:rFonts w:ascii="Amaranth" w:hAnsi="Amaranth" w:cstheme="minorHAnsi"/>
          <w:b/>
          <w:bCs/>
        </w:rPr>
        <w:t xml:space="preserve"> </w:t>
      </w:r>
    </w:p>
    <w:p w14:paraId="06E8470C"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(1 de junho de 2018, CRC/C/AGO/5-7 Versão avançada sem edições, Observações conclusivas sobre o quinto/sétimo relatório, parag. 4, 20 e 21)</w:t>
      </w:r>
    </w:p>
    <w:p w14:paraId="17FA418C"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"O Comité relembra ao Estado Parte a indivisibilidade e interdependência de todos os direitos consagrados na Convenção e enfatiza a importância de todas as recomendações contidas nas presentes observações conclusivas. O Comité gostaria de chamar à atenção do Estado Parte as recomendações relativas às seguintes áreas, em respeito às quais devem ser tomadas medidas urgentes: (...) todas as formas de violência contra as crianças, incluindo punição corporal (parag. 21)...”</w:t>
      </w:r>
    </w:p>
    <w:p w14:paraId="76B15573"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"O Comité preocupa-se que: </w:t>
      </w:r>
    </w:p>
    <w:p w14:paraId="0C280275"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(a) as suas recomendações anteriores não tenham sido aplicadas, nomeadamente as que explicitamente proibiam a punição corporal na lei em todos os contextos; </w:t>
      </w:r>
    </w:p>
    <w:p w14:paraId="75F308B5"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(b) Como consequência, a punição corporal continue a ser legal no Estado Parte, excepto como sentença para um crime;  </w:t>
      </w:r>
    </w:p>
    <w:p w14:paraId="07A20F87"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(c) O Estado Parte alega que a punição corporal é considerada um crime em todos os contextos, </w:t>
      </w:r>
      <w:proofErr w:type="gramStart"/>
      <w:r>
        <w:rPr>
          <w:rFonts w:asciiTheme="minorHAnsi" w:hAnsiTheme="minorHAnsi"/>
          <w:sz w:val="24"/>
        </w:rPr>
        <w:t>mas</w:t>
      </w:r>
      <w:proofErr w:type="gramEnd"/>
      <w:r>
        <w:rPr>
          <w:rFonts w:asciiTheme="minorHAnsi" w:hAnsiTheme="minorHAnsi"/>
          <w:sz w:val="24"/>
        </w:rPr>
        <w:t xml:space="preserve"> que esta declaração não seja apoiada pelas leis, incluindo a Lei Infantil, que prevê a defesa legal da "correção justificável" no artigo 10.º contra o crime de agressão quando é infligido para fins disciplinares; </w:t>
      </w:r>
    </w:p>
    <w:p w14:paraId="6F3A669C"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(d) Seja relatado, inclusive pelo Estado Parte, que a punição corporal está a ser praticada pelos professores nas escolas. </w:t>
      </w:r>
    </w:p>
    <w:p w14:paraId="2E7F7432"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“Reiterando as suas observações conclusivas (ver CRC/C/AGO/CO/2-4, parag. 37) e em referência aos seus comentários gerais n.º 13 (2011) sobre o direito da criança a ser livre de todas as formas de violência e n.º 8 (2006) sobre o direito da criança à proteção da punição corporal e outras formas degradantes ou cruéis de punição, tomando nota do objetivo 16.2 dos ODS sobre acabar com todas as formas de violência contra as crianças, e tendo em conta a aceitação do Estado Parte das recomendações relevantes na sua Revisão Periódica Universal de 2014, o Comité incita o Estado Parte a: </w:t>
      </w:r>
    </w:p>
    <w:p w14:paraId="6A997003"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(a) Alterar a Lei da Criança, através inclusive da remoção da defesa legal do conceito de "correção justificável", e a Lei contra a Violência Doméstica, bem como o Código da Família e o Código Penal, ambos atualmente sob revisão na íntegra, e qualquer outra legislação relevante, para que explicitamente se proíba o uso da punição corporal em todos os contextos, incluindo em casa, nas escolas, nos estabelecimentos de cuidados alternativos, nas instituições de cuidados infantis e nas instituições penais; </w:t>
      </w:r>
    </w:p>
    <w:p w14:paraId="1B6B18BB"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(b) Fortalecer os programas de formação de professores, educação pública e programas de consciencialização e mobilização social que envolvam crianças, famílias e comunidades sobre os efeitos prejudiciais da punição corporal, com vista à alteração de atitudes e promoção de formas de educação e disciplina alternativas, positivas e não violentas."</w:t>
      </w:r>
    </w:p>
    <w:p w14:paraId="76A07826" w14:textId="77777777" w:rsidR="00EA0007" w:rsidRDefault="00EA0007" w:rsidP="001000FE">
      <w:pPr>
        <w:pStyle w:val="SingleTxtG"/>
        <w:spacing w:line="240" w:lineRule="auto"/>
        <w:ind w:left="0" w:right="0"/>
        <w:jc w:val="left"/>
        <w:rPr>
          <w:rFonts w:asciiTheme="minorHAnsi" w:hAnsiTheme="minorHAnsi"/>
          <w:sz w:val="24"/>
        </w:rPr>
      </w:pPr>
    </w:p>
    <w:p w14:paraId="052E4F2E" w14:textId="77777777" w:rsidR="00EA0007" w:rsidRPr="00EA0007" w:rsidRDefault="00EA0007" w:rsidP="001000FE">
      <w:pPr>
        <w:pStyle w:val="SingleTxtG"/>
        <w:spacing w:line="240" w:lineRule="auto"/>
        <w:ind w:left="0" w:right="0"/>
        <w:jc w:val="left"/>
        <w:rPr>
          <w:rFonts w:ascii="Amaranth" w:hAnsi="Amaranth"/>
          <w:i/>
          <w:sz w:val="24"/>
        </w:rPr>
      </w:pPr>
      <w:r w:rsidRPr="00EA0007">
        <w:rPr>
          <w:rFonts w:ascii="Amaranth" w:hAnsi="Amaranth"/>
          <w:i/>
          <w:sz w:val="24"/>
        </w:rPr>
        <w:lastRenderedPageBreak/>
        <w:t>Comité dos Direitos da Criança</w:t>
      </w:r>
    </w:p>
    <w:p w14:paraId="5CA05779"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(11 de outubro de 2010, CRC/C/AGO/2-</w:t>
      </w:r>
      <w:proofErr w:type="gramStart"/>
      <w:r>
        <w:rPr>
          <w:rFonts w:asciiTheme="minorHAnsi" w:hAnsiTheme="minorHAnsi"/>
          <w:sz w:val="24"/>
        </w:rPr>
        <w:t>4 ,</w:t>
      </w:r>
      <w:proofErr w:type="gramEnd"/>
      <w:r>
        <w:rPr>
          <w:rFonts w:asciiTheme="minorHAnsi" w:hAnsiTheme="minorHAnsi"/>
          <w:sz w:val="24"/>
        </w:rPr>
        <w:t xml:space="preserve"> Observações conclusivas do segundo ao quarto relatório, parag. 36 e 37)</w:t>
      </w:r>
    </w:p>
    <w:p w14:paraId="0E48ACE7"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"Apesar de o Comité notar que a punição corporal é ilegal enquanto sentença de um crime, preocupa-se que a punição corporal ainda seja legal em casa e que não haja uma proibição explícita da punição corporal nas escolas, nos estabelecimentos de cuidados alternativos e enquanto medida disciplinar nas instituições penais.</w:t>
      </w:r>
    </w:p>
    <w:p w14:paraId="151DDBA2" w14:textId="77777777" w:rsidR="00EA0007" w:rsidRDefault="00EA0007" w:rsidP="001000FE">
      <w:pPr>
        <w:pStyle w:val="SingleTxtG"/>
        <w:spacing w:line="240" w:lineRule="auto"/>
        <w:ind w:left="0" w:right="0"/>
        <w:jc w:val="left"/>
        <w:rPr>
          <w:rFonts w:asciiTheme="minorHAnsi" w:hAnsiTheme="minorHAnsi"/>
          <w:sz w:val="24"/>
        </w:rPr>
      </w:pPr>
      <w:r>
        <w:rPr>
          <w:rFonts w:asciiTheme="minorHAnsi" w:hAnsiTheme="minorHAnsi"/>
          <w:sz w:val="24"/>
        </w:rPr>
        <w:t xml:space="preserve">"O Comité recomenda que o Estado Parte proíba explicitamente por lei todas as formas de violência contra as crianças, incluindo a punição corporal, em todos os contextos, incluindo na família, nas escolas, nos estabelecimentos alternativos de cuidados infantis e em espaços de detenção para menores, e que aplique efetivamente essas leis. Recomenda também que o Estado Parte conduza campanhas de consciencialização focadas nos pais, professores e público geral sobre a erradicação da punição corporal e a promoção de formas alternativas de disciplina de um modo consistente com a dignidade humana da criança e em conformidade com a Convenção, especialmente os artigos 19.º e 28.º, parágrafo 2, tendo em conta o comentário geral n.º 8 do Comité sobre o direito da criança à proteção contra a punição corporal e formas degradantes ou cruéis de punição." </w:t>
      </w:r>
    </w:p>
    <w:p w14:paraId="357F94CB" w14:textId="77777777" w:rsidR="00EA0007" w:rsidRDefault="00EA0007" w:rsidP="001000FE">
      <w:pPr>
        <w:spacing w:after="120"/>
        <w:rPr>
          <w:rFonts w:asciiTheme="minorHAnsi" w:hAnsiTheme="minorHAnsi"/>
          <w:i/>
        </w:rPr>
      </w:pPr>
    </w:p>
    <w:p w14:paraId="7A7BF966" w14:textId="77777777" w:rsidR="00EA0007" w:rsidRPr="00EA0007" w:rsidRDefault="00EA0007" w:rsidP="001000FE">
      <w:pPr>
        <w:spacing w:after="120"/>
        <w:rPr>
          <w:rFonts w:ascii="Amaranth" w:hAnsi="Amaranth"/>
          <w:i/>
        </w:rPr>
      </w:pPr>
      <w:r w:rsidRPr="00EA0007">
        <w:rPr>
          <w:rFonts w:ascii="Amaranth" w:hAnsi="Amaranth"/>
          <w:i/>
        </w:rPr>
        <w:t xml:space="preserve">Comité dos Direitos da Criança </w:t>
      </w:r>
    </w:p>
    <w:p w14:paraId="011BAD1A" w14:textId="77777777" w:rsidR="00EA0007" w:rsidRDefault="00EA0007" w:rsidP="001000FE">
      <w:pPr>
        <w:spacing w:after="120"/>
        <w:rPr>
          <w:rFonts w:asciiTheme="minorHAnsi" w:hAnsiTheme="minorHAnsi"/>
          <w:i/>
        </w:rPr>
      </w:pPr>
      <w:r>
        <w:rPr>
          <w:rFonts w:asciiTheme="minorHAnsi" w:hAnsiTheme="minorHAnsi"/>
        </w:rPr>
        <w:t>(3 de novembro de 2004, CRC/C/15/Add.246, Observações conclusivas sobre o relatório inicial, parag. 32, 33, 36 e 37)</w:t>
      </w:r>
    </w:p>
    <w:p w14:paraId="1DCC796B" w14:textId="77777777" w:rsidR="00EA0007" w:rsidRDefault="00EA0007" w:rsidP="001000FE">
      <w:pPr>
        <w:spacing w:after="120"/>
        <w:rPr>
          <w:rFonts w:asciiTheme="minorHAnsi" w:hAnsiTheme="minorHAnsi"/>
        </w:rPr>
      </w:pPr>
      <w:r>
        <w:rPr>
          <w:rFonts w:asciiTheme="minorHAnsi" w:hAnsiTheme="minorHAnsi"/>
        </w:rPr>
        <w:t>"O Comité está preocupado com o uso comum da punição corporal nas famílias, nas escolas e noutras instituições para crianças.</w:t>
      </w:r>
    </w:p>
    <w:p w14:paraId="485AAF7A" w14:textId="77777777" w:rsidR="00EA0007" w:rsidRDefault="00EA0007" w:rsidP="001000FE">
      <w:pPr>
        <w:spacing w:after="120"/>
        <w:rPr>
          <w:rFonts w:asciiTheme="minorHAnsi" w:hAnsiTheme="minorHAnsi"/>
        </w:rPr>
      </w:pPr>
      <w:r>
        <w:rPr>
          <w:rFonts w:asciiTheme="minorHAnsi" w:hAnsiTheme="minorHAnsi"/>
        </w:rPr>
        <w:t>"O Comité recomenda que o Estado Parte tome medidas efetivas para: reforçar a proibição da punição corporal nas escolas e noutras instituições; proibir o uso da violência contra as crianças, incluindo a punição corporal pela parte dos pais ou outros cuidadores; e conduzir campanhas que eduquem as famílias, os professores e outros profissionais que trabalham com crianças acerca de métodos alternativos para disciplinar as crianças.</w:t>
      </w:r>
    </w:p>
    <w:p w14:paraId="5A0AA3BD" w14:textId="77777777" w:rsidR="00EA0007" w:rsidRDefault="00EA0007" w:rsidP="001000FE">
      <w:pPr>
        <w:spacing w:after="120"/>
        <w:rPr>
          <w:rFonts w:asciiTheme="minorHAnsi" w:hAnsiTheme="minorHAnsi"/>
        </w:rPr>
      </w:pPr>
      <w:r>
        <w:rPr>
          <w:rFonts w:asciiTheme="minorHAnsi" w:hAnsiTheme="minorHAnsi"/>
        </w:rPr>
        <w:t>"O Comité está preocupado com os casos crescentes de abuso e violência contras as crianças, incluindo abuso sexual nas suas casas, escolas e outras instituições.</w:t>
      </w:r>
    </w:p>
    <w:p w14:paraId="653865AC" w14:textId="77777777" w:rsidR="00EA0007" w:rsidRDefault="00EA0007" w:rsidP="001000FE">
      <w:pPr>
        <w:spacing w:after="120"/>
        <w:rPr>
          <w:rFonts w:asciiTheme="minorHAnsi" w:hAnsiTheme="minorHAnsi"/>
        </w:rPr>
      </w:pPr>
      <w:r>
        <w:rPr>
          <w:rFonts w:asciiTheme="minorHAnsi" w:hAnsiTheme="minorHAnsi"/>
        </w:rPr>
        <w:t>"O Comité recomenda que o Estado Parte fortaleça os seus esforços atuais para resolver o problema do abuso infantil, garantido que:</w:t>
      </w:r>
    </w:p>
    <w:p w14:paraId="3FA1536C" w14:textId="77777777" w:rsidR="00EA0007" w:rsidRDefault="00EA0007" w:rsidP="001000FE">
      <w:pPr>
        <w:spacing w:after="120"/>
        <w:rPr>
          <w:rFonts w:asciiTheme="minorHAnsi" w:hAnsiTheme="minorHAnsi"/>
        </w:rPr>
      </w:pPr>
      <w:r>
        <w:rPr>
          <w:rFonts w:asciiTheme="minorHAnsi" w:hAnsiTheme="minorHAnsi"/>
        </w:rPr>
        <w:t>b) são conduzidas campanhas públicas de educação sobre as consequências negativas dos maus tratos, e programas preventivos, incluindo programas de desenvolvimento familiar, que promovam formas de disciplina positivas e não violentas..."</w:t>
      </w:r>
    </w:p>
    <w:p w14:paraId="45BD8FD2" w14:textId="3327C9CA" w:rsidR="00C64865" w:rsidRPr="00B75534" w:rsidRDefault="00C64865" w:rsidP="001000FE">
      <w:pPr>
        <w:pStyle w:val="SingleTxtG"/>
        <w:spacing w:line="240" w:lineRule="auto"/>
        <w:ind w:left="0" w:right="0"/>
        <w:jc w:val="left"/>
        <w:rPr>
          <w:rFonts w:asciiTheme="minorHAnsi" w:hAnsiTheme="minorHAnsi" w:cstheme="minorHAnsi"/>
          <w:bCs/>
          <w:sz w:val="24"/>
          <w:szCs w:val="24"/>
          <w:lang w:val="fr-FR"/>
        </w:rPr>
      </w:pPr>
    </w:p>
    <w:p w14:paraId="3AC644AC" w14:textId="77777777" w:rsidR="002C499F" w:rsidRPr="002C499F" w:rsidRDefault="002C499F" w:rsidP="001000FE">
      <w:pPr>
        <w:keepNext/>
        <w:spacing w:after="120"/>
        <w:outlineLvl w:val="1"/>
        <w:rPr>
          <w:rFonts w:ascii="Amaranth" w:hAnsi="Amaranth"/>
          <w:b/>
          <w:bCs/>
          <w:sz w:val="28"/>
          <w:lang w:val="pt-PT"/>
        </w:rPr>
      </w:pPr>
      <w:bookmarkStart w:id="2" w:name="_Toc197483519"/>
      <w:r w:rsidRPr="002C499F">
        <w:rPr>
          <w:rFonts w:ascii="Amaranth" w:hAnsi="Amaranth"/>
          <w:b/>
          <w:bCs/>
          <w:sz w:val="28"/>
          <w:lang w:val="pt-PT"/>
        </w:rPr>
        <w:t>Pesquisa de prevalência/atitudinal</w:t>
      </w:r>
      <w:bookmarkEnd w:id="2"/>
      <w:r w:rsidRPr="002C499F">
        <w:rPr>
          <w:rFonts w:ascii="Amaranth" w:hAnsi="Amaranth"/>
          <w:b/>
          <w:bCs/>
          <w:sz w:val="28"/>
          <w:lang w:val="pt-PT"/>
        </w:rPr>
        <w:t xml:space="preserve"> nos últimos dez anos</w:t>
      </w:r>
    </w:p>
    <w:p w14:paraId="7C47DDEC" w14:textId="4074540E" w:rsidR="00DD4005" w:rsidRPr="00200759" w:rsidRDefault="002C499F" w:rsidP="001000FE">
      <w:pPr>
        <w:spacing w:after="120"/>
        <w:rPr>
          <w:rFonts w:asciiTheme="minorHAnsi" w:hAnsiTheme="minorHAnsi"/>
          <w:lang w:val="pt-PT"/>
        </w:rPr>
      </w:pPr>
      <w:r w:rsidRPr="002C499F">
        <w:rPr>
          <w:rFonts w:asciiTheme="minorHAnsi" w:hAnsiTheme="minorHAnsi"/>
          <w:lang w:val="pt-PT"/>
        </w:rPr>
        <w:t>Não identificada.</w:t>
      </w:r>
      <w:bookmarkStart w:id="3" w:name="_GoBack"/>
      <w:bookmarkEnd w:id="3"/>
    </w:p>
    <w:p w14:paraId="7D2D890D" w14:textId="74457F25" w:rsidR="00200759" w:rsidRDefault="00200759" w:rsidP="00DD4005">
      <w:pPr>
        <w:rPr>
          <w:rFonts w:asciiTheme="minorHAnsi" w:hAnsiTheme="minorHAnsi" w:cstheme="minorHAnsi"/>
          <w:noProof/>
          <w:lang w:val="fr-FR" w:eastAsia="en-GB"/>
        </w:rPr>
      </w:pPr>
    </w:p>
    <w:p w14:paraId="460D6C9C" w14:textId="77777777" w:rsidR="00DD4005" w:rsidRDefault="00DD4005" w:rsidP="00DD4005">
      <w:pPr>
        <w:rPr>
          <w:rFonts w:asciiTheme="minorHAnsi" w:hAnsiTheme="minorHAnsi" w:cstheme="minorHAnsi"/>
          <w:noProof/>
          <w:lang w:val="fr-FR" w:eastAsia="en-GB"/>
        </w:rPr>
      </w:pPr>
    </w:p>
    <w:p w14:paraId="3BDD6289" w14:textId="5C02D848" w:rsidR="00DD4005" w:rsidRPr="00200759" w:rsidRDefault="00DD4005" w:rsidP="003525BB">
      <w:pPr>
        <w:jc w:val="right"/>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73384ABA" wp14:editId="5197C67E">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005">
        <w:rPr>
          <w:rFonts w:asciiTheme="minorHAnsi" w:hAnsiTheme="minorHAnsi" w:cstheme="minorHAnsi"/>
          <w:noProof/>
          <w:lang w:eastAsia="en-GB"/>
        </w:rPr>
        <w:t>Esta página foi traduzida pelo nosso parceiro, Tradutores Sem Fronteiras. Para qualquer comentário ou correção no conteúdo ou tradução, envie um email para</w:t>
      </w:r>
      <w:r>
        <w:rPr>
          <w:rFonts w:asciiTheme="minorHAnsi" w:hAnsiTheme="minorHAnsi" w:cstheme="minorHAnsi"/>
          <w:noProof/>
          <w:lang w:eastAsia="en-GB"/>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DD4005" w:rsidRPr="00200759" w:rsidSect="00200759">
      <w:footerReference w:type="default" r:id="rId15"/>
      <w:pgSz w:w="11906" w:h="16838"/>
      <w:pgMar w:top="964" w:right="992" w:bottom="992"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10E6" w14:textId="77777777" w:rsidR="00207EE8" w:rsidRDefault="00207EE8" w:rsidP="00323C9D">
      <w:r>
        <w:separator/>
      </w:r>
    </w:p>
    <w:p w14:paraId="704D0871" w14:textId="77777777" w:rsidR="00207EE8" w:rsidRDefault="00207EE8"/>
  </w:endnote>
  <w:endnote w:type="continuationSeparator" w:id="0">
    <w:p w14:paraId="65CEAF96" w14:textId="77777777" w:rsidR="00207EE8" w:rsidRDefault="00207EE8" w:rsidP="00323C9D">
      <w:r>
        <w:continuationSeparator/>
      </w:r>
    </w:p>
    <w:p w14:paraId="4532EF59" w14:textId="77777777" w:rsidR="00207EE8" w:rsidRDefault="00207EE8"/>
  </w:endnote>
  <w:endnote w:type="continuationNotice" w:id="1">
    <w:p w14:paraId="186F31EA" w14:textId="77777777" w:rsidR="00207EE8" w:rsidRDefault="00207EE8"/>
    <w:p w14:paraId="7CDAADF4" w14:textId="77777777" w:rsidR="00207EE8" w:rsidRDefault="00207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256CECB"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3525BB" w:rsidRPr="003525BB">
          <w:rPr>
            <w:rFonts w:asciiTheme="minorHAnsi" w:hAnsiTheme="minorHAnsi" w:cstheme="minorHAnsi"/>
            <w:noProof/>
            <w:sz w:val="22"/>
            <w:szCs w:val="20"/>
          </w:rPr>
          <w:t>5</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9D99" w14:textId="77777777" w:rsidR="00207EE8" w:rsidRDefault="00207EE8" w:rsidP="00323C9D">
      <w:r>
        <w:separator/>
      </w:r>
    </w:p>
    <w:p w14:paraId="5DD5F0F0" w14:textId="77777777" w:rsidR="00207EE8" w:rsidRDefault="00207EE8"/>
  </w:footnote>
  <w:footnote w:type="continuationSeparator" w:id="0">
    <w:p w14:paraId="6D8B5216" w14:textId="77777777" w:rsidR="00207EE8" w:rsidRDefault="00207EE8" w:rsidP="00323C9D">
      <w:r>
        <w:continuationSeparator/>
      </w:r>
    </w:p>
    <w:p w14:paraId="14D90F9B" w14:textId="77777777" w:rsidR="00207EE8" w:rsidRDefault="00207EE8"/>
  </w:footnote>
  <w:footnote w:type="continuationNotice" w:id="1">
    <w:p w14:paraId="1AC65DA0" w14:textId="77777777" w:rsidR="00207EE8" w:rsidRDefault="00207EE8"/>
    <w:p w14:paraId="470292A0" w14:textId="77777777" w:rsidR="00207EE8" w:rsidRDefault="00207EE8"/>
  </w:footnote>
  <w:footnote w:id="2">
    <w:p w14:paraId="35726909" w14:textId="77777777" w:rsidR="007C1BA5" w:rsidRDefault="007C1BA5" w:rsidP="007C1BA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24 de março de 2010, A/HRC/14/11, Relatório do grupo de trabalho, parag. 87(26), 87(59), 87(66) e 87(70)</w:t>
      </w:r>
    </w:p>
  </w:footnote>
  <w:footnote w:id="3">
    <w:p w14:paraId="01346081" w14:textId="77777777" w:rsidR="007C1BA5" w:rsidRDefault="007C1BA5" w:rsidP="007C1BA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5 de dezembro de 2014, A/HRC/28/11, Relatório do grupo de trabalho, parag. 134(87) e 134(95)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5CC8"/>
    <w:rsid w:val="000B0A8C"/>
    <w:rsid w:val="000B2F36"/>
    <w:rsid w:val="000B66F9"/>
    <w:rsid w:val="000C22FB"/>
    <w:rsid w:val="000C2652"/>
    <w:rsid w:val="000C2FF2"/>
    <w:rsid w:val="000E54F2"/>
    <w:rsid w:val="000F60CE"/>
    <w:rsid w:val="001000FE"/>
    <w:rsid w:val="00105465"/>
    <w:rsid w:val="0010748C"/>
    <w:rsid w:val="00120D68"/>
    <w:rsid w:val="00123508"/>
    <w:rsid w:val="001274DE"/>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00759"/>
    <w:rsid w:val="00207EE8"/>
    <w:rsid w:val="00214EE1"/>
    <w:rsid w:val="00222FAB"/>
    <w:rsid w:val="00226A92"/>
    <w:rsid w:val="00231F5D"/>
    <w:rsid w:val="00234040"/>
    <w:rsid w:val="00240EA1"/>
    <w:rsid w:val="00260954"/>
    <w:rsid w:val="00271923"/>
    <w:rsid w:val="002834F2"/>
    <w:rsid w:val="00283D0A"/>
    <w:rsid w:val="00284A40"/>
    <w:rsid w:val="00284BD8"/>
    <w:rsid w:val="002907B9"/>
    <w:rsid w:val="002931FD"/>
    <w:rsid w:val="00294582"/>
    <w:rsid w:val="00294AEE"/>
    <w:rsid w:val="002A0B7F"/>
    <w:rsid w:val="002A51B6"/>
    <w:rsid w:val="002B4939"/>
    <w:rsid w:val="002B7146"/>
    <w:rsid w:val="002C429C"/>
    <w:rsid w:val="002C499F"/>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25BB"/>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45731"/>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050C5"/>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04DE"/>
    <w:rsid w:val="006F1AB7"/>
    <w:rsid w:val="006F2157"/>
    <w:rsid w:val="006F553D"/>
    <w:rsid w:val="007069FF"/>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1BA5"/>
    <w:rsid w:val="007C47AB"/>
    <w:rsid w:val="007C5364"/>
    <w:rsid w:val="007C56DC"/>
    <w:rsid w:val="007C687F"/>
    <w:rsid w:val="007D0DF5"/>
    <w:rsid w:val="007E0EE4"/>
    <w:rsid w:val="007E3D40"/>
    <w:rsid w:val="00810387"/>
    <w:rsid w:val="00812340"/>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5BD9"/>
    <w:rsid w:val="008D7981"/>
    <w:rsid w:val="008F31D8"/>
    <w:rsid w:val="008F4411"/>
    <w:rsid w:val="00905ADB"/>
    <w:rsid w:val="00907813"/>
    <w:rsid w:val="00912AE7"/>
    <w:rsid w:val="00913A93"/>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6219"/>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90875"/>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24C3"/>
    <w:rsid w:val="00D936EB"/>
    <w:rsid w:val="00D94B85"/>
    <w:rsid w:val="00D951CD"/>
    <w:rsid w:val="00DA0A42"/>
    <w:rsid w:val="00DA3604"/>
    <w:rsid w:val="00DA6F47"/>
    <w:rsid w:val="00DB71F4"/>
    <w:rsid w:val="00DB7283"/>
    <w:rsid w:val="00DC4AD5"/>
    <w:rsid w:val="00DD19D8"/>
    <w:rsid w:val="00DD4005"/>
    <w:rsid w:val="00DD4479"/>
    <w:rsid w:val="00DD602D"/>
    <w:rsid w:val="00DE026F"/>
    <w:rsid w:val="00DE6399"/>
    <w:rsid w:val="00DF1086"/>
    <w:rsid w:val="00DF4192"/>
    <w:rsid w:val="00DF68CD"/>
    <w:rsid w:val="00DF7CED"/>
    <w:rsid w:val="00E03CF6"/>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0007"/>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501D1"/>
    <w:rsid w:val="00F604EC"/>
    <w:rsid w:val="00F63FD9"/>
    <w:rsid w:val="00F708F0"/>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832BF-5779-48E1-9E71-60D6257E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3</cp:revision>
  <cp:lastPrinted>2019-10-22T10:46:00Z</cp:lastPrinted>
  <dcterms:created xsi:type="dcterms:W3CDTF">2019-10-22T10:46:00Z</dcterms:created>
  <dcterms:modified xsi:type="dcterms:W3CDTF">2019-10-22T11:00:00Z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