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E5567" w14:paraId="444161C0" w14:textId="77777777">
        <w:tc>
          <w:tcPr>
            <w:tcW w:w="10138" w:type="dxa"/>
            <w:gridSpan w:val="2"/>
          </w:tcPr>
          <w:p w14:paraId="1A30267E" w14:textId="195AFE1C" w:rsidR="00BE5567" w:rsidRDefault="00672CCE">
            <w:pPr>
              <w:spacing w:before="120" w:after="240"/>
              <w:rPr>
                <w:rFonts w:ascii="Amaranth" w:hAnsi="Amaranth" w:cstheme="minorHAnsi"/>
                <w:b/>
                <w:noProof/>
                <w:color w:val="1E3250"/>
                <w:sz w:val="48"/>
              </w:rPr>
            </w:pPr>
            <w:r>
              <w:rPr>
                <w:rFonts w:ascii="Amaranth" w:hAnsi="Amaranth" w:cstheme="minorHAnsi"/>
                <w:b/>
                <w:color w:val="1E3250"/>
                <w:sz w:val="50"/>
              </w:rPr>
              <w:t>中國兒童體罰</w:t>
            </w:r>
          </w:p>
        </w:tc>
        <w:bookmarkStart w:id="0" w:name="_GoBack"/>
        <w:bookmarkEnd w:id="0"/>
      </w:tr>
      <w:tr w:rsidR="00BE5567" w14:paraId="63C617FD" w14:textId="77777777">
        <w:tc>
          <w:tcPr>
            <w:tcW w:w="5211" w:type="dxa"/>
          </w:tcPr>
          <w:p w14:paraId="161E86DF" w14:textId="780453CC" w:rsidR="00BE5567" w:rsidRDefault="00672CCE">
            <w:pPr>
              <w:spacing w:before="240"/>
              <w:rPr>
                <w:rFonts w:ascii="Amaranth" w:hAnsi="Amaranth" w:cstheme="minorHAnsi"/>
              </w:rPr>
            </w:pPr>
            <w:bookmarkStart w:id="1" w:name="_Toc197483692"/>
            <w:r>
              <w:rPr>
                <w:rFonts w:ascii="Amaranth" w:hAnsi="Amaranth" w:cstheme="minorHAnsi"/>
              </w:rPr>
              <w:t>上次更新於 2017 年 7 月</w:t>
            </w:r>
          </w:p>
          <w:p w14:paraId="0EEC5A5A" w14:textId="6CFCA4D0" w:rsidR="00BE5567" w:rsidRDefault="00672CCE">
            <w:pPr>
              <w:rPr>
                <w:rFonts w:ascii="Amaranth" w:hAnsi="Amaranth" w:cstheme="minorHAnsi"/>
                <w:color w:val="0096A3"/>
              </w:rPr>
            </w:pPr>
            <w:r>
              <w:rPr>
                <w:rFonts w:ascii="Amaranth" w:hAnsi="Amaranth" w:cstheme="minorHAnsi"/>
              </w:rPr>
              <w:t>亦於線上提供</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55FC06B" w:rsidR="00BE5567" w:rsidRDefault="00672CCE">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兒童人口 </w:t>
            </w:r>
            <w:r>
              <w:rPr>
                <w:rFonts w:ascii="Amaranth" w:hAnsi="Amaranth" w:cstheme="minorHAnsi"/>
              </w:rPr>
              <w:t>282,260,000 人（UNICEF，2015 年）</w:t>
            </w:r>
          </w:p>
        </w:tc>
        <w:tc>
          <w:tcPr>
            <w:tcW w:w="4927" w:type="dxa"/>
          </w:tcPr>
          <w:p w14:paraId="35B1097F" w14:textId="5BCAC162" w:rsidR="00BE5567" w:rsidRDefault="00672CCE">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BE5567" w:rsidRDefault="00BE556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BE5567" w:rsidRDefault="00BE556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BE5567" w:rsidRDefault="00672CCE">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必要法律改革以達到全面禁止之摘要</w:t>
      </w:r>
    </w:p>
    <w:p w14:paraId="0D3687ED" w14:textId="77777777" w:rsidR="00BE5567" w:rsidRDefault="00672CC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在家中、部分日托以及可能的非傳統照護場所中，仍須進一步禁止。</w:t>
      </w:r>
    </w:p>
    <w:p w14:paraId="0009590E" w14:textId="77777777" w:rsidR="00BE5567" w:rsidRDefault="00672CC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法規中似乎未確認父母有權對其子女進行體罰，修訂後的《未成年人保護法》(2006) 禁止對未成年人虐待以及家庭暴力，但沒有明確禁止體罰，且沒有證據顯示反對暴力和虐待的法規被解釋為禁止所有體罰。在兒童撫養中幾乎普遍接受體罰，因此法律必須明確規定任何種類或程度的體罰都不能被視為是合理或合法的。</w:t>
      </w:r>
    </w:p>
    <w:p w14:paraId="01AA2C48" w14:textId="77777777" w:rsidR="00BE5567" w:rsidRDefault="00672CC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1999 年《預防未成年人犯罪法》中包括幾條禁令，授權家長和監護人對兒童進行「嚴厲管教」。法律應當明確指出，這並不代表有權實施體罰。禁止對兒童進行身體和其他降格及侮辱性的懲罰。</w:t>
      </w:r>
    </w:p>
    <w:p w14:paraId="7871707D" w14:textId="77777777" w:rsidR="00BE5567" w:rsidRDefault="00672CC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非傳統照護場所</w:t>
      </w:r>
      <w:r>
        <w:rPr>
          <w:rFonts w:asciiTheme="minorHAnsi" w:hAnsiTheme="minorHAnsi"/>
        </w:rPr>
        <w:t>──禁止在非傳統照護場所實施體罰（寄養照護、機構、育幼院、受保護地方、緊急照護等）。</w:t>
      </w:r>
    </w:p>
    <w:p w14:paraId="52D959C9" w14:textId="1090F45E" w:rsidR="00BE5567" w:rsidRDefault="00672CC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日托</w:t>
      </w:r>
      <w:r>
        <w:rPr>
          <w:rFonts w:asciiTheme="minorHAnsi" w:hAnsiTheme="minorHAnsi"/>
        </w:rPr>
        <w:t>──禁止在幼兒園和托兒所中實施體罰。禁令應當推行於所有其他的幼兒照護場所（托兒所、家庭中心等），以及較年長兒童的全日托護理（日托中心、課後孩童照護、孩童照看等）</w:t>
      </w:r>
    </w:p>
    <w:p w14:paraId="53EDA8B0" w14:textId="463257B5" w:rsidR="00BE5567" w:rsidRDefault="00BE556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BE5567" w:rsidRDefault="00BE556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1"/>
    <w:p w14:paraId="21C620E3" w14:textId="0E3BEA30" w:rsidR="00BE5567" w:rsidRDefault="00672CCE">
      <w:pPr>
        <w:jc w:val="center"/>
      </w:pPr>
      <w:r>
        <w:br w:type="page"/>
      </w:r>
    </w:p>
    <w:p w14:paraId="7A722C28" w14:textId="60746E3B" w:rsidR="00BE5567" w:rsidRDefault="00672CCE">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現今體罰的合法性</w:t>
      </w:r>
    </w:p>
    <w:p w14:paraId="7A722C29" w14:textId="6DB5BC53" w:rsidR="00BE5567" w:rsidRDefault="00672CCE">
      <w:pPr>
        <w:pStyle w:val="Heading3"/>
        <w:spacing w:before="0" w:after="120"/>
        <w:rPr>
          <w:rFonts w:ascii="Amaranth" w:hAnsi="Amaranth" w:cstheme="minorHAnsi"/>
          <w:sz w:val="24"/>
        </w:rPr>
      </w:pPr>
      <w:r>
        <w:rPr>
          <w:rFonts w:ascii="Amaranth" w:hAnsi="Amaranth" w:cstheme="minorHAnsi"/>
          <w:sz w:val="24"/>
        </w:rPr>
        <w:t>首頁</w:t>
      </w:r>
    </w:p>
    <w:p w14:paraId="321D4AA0" w14:textId="77777777" w:rsidR="00BE5567" w:rsidRDefault="00672CCE">
      <w:pPr>
        <w:spacing w:after="120"/>
        <w:rPr>
          <w:rFonts w:asciiTheme="minorHAnsi" w:hAnsiTheme="minorHAnsi"/>
        </w:rPr>
      </w:pPr>
      <w:r>
        <w:rPr>
          <w:rFonts w:asciiTheme="minorHAnsi" w:hAnsiTheme="minorHAnsi"/>
        </w:rPr>
        <w:t>家庭中體罰是合法的。在某些情況下，防止父母實施體罰的保障非常有限：1993 年《深圳特區條例》依照中華人民共和國《婦女權益保護法》(1992) 明確禁止對女童進行體罰（第 23 條），以及《預防未成年人犯罪法 》(1999) 規定，就讀工讀學校之兒童，家中不得對兒童施加身體懲罰（第 36 條）。但是同一條法律中指明，嚴重品行不端的兒童家長或監護人可對其兒童「嚴加管教」 （第 35、38 和 49 條）。</w:t>
      </w:r>
    </w:p>
    <w:p w14:paraId="28C49898" w14:textId="77777777" w:rsidR="00BE5567" w:rsidRDefault="00672CCE">
      <w:pPr>
        <w:spacing w:after="120"/>
        <w:rPr>
          <w:rFonts w:asciiTheme="minorHAnsi" w:hAnsiTheme="minorHAnsi"/>
        </w:rPr>
      </w:pPr>
      <w:r>
        <w:rPr>
          <w:rFonts w:asciiTheme="minorHAnsi" w:hAnsiTheme="minorHAnsi"/>
        </w:rPr>
        <w:t>政府在 2013 年對兒童權利委員會提交的報告中指出，中國法律明文禁止對兒童實施體罰，包括在家庭中。</w:t>
      </w:r>
      <w:r>
        <w:rPr>
          <w:rStyle w:val="FootnoteReference"/>
          <w:rFonts w:asciiTheme="minorHAnsi" w:hAnsiTheme="minorHAnsi"/>
        </w:rPr>
        <w:footnoteReference w:id="2"/>
      </w:r>
      <w:r>
        <w:rPr>
          <w:rFonts w:asciiTheme="minorHAnsi" w:hAnsiTheme="minorHAnsi"/>
        </w:rPr>
        <w:t xml:space="preserve"> 然而，在 2006 年修訂的《未成年人保護法》（2012 年進一步修訂）、《刑法》(1979)、《憲法》(1982) 和《婚姻法》（於 2001 年修改）中有關抗暴和虐待的禁令中，沒有禁止育兒體罰。《未成年人保護法》第 10 條規定，「禁止對未成年人實施家庭暴力，禁止虐待、遺棄未成年人，禁止溺嬰」，但無明令禁止體罰。</w:t>
      </w:r>
    </w:p>
    <w:p w14:paraId="191EC91A" w14:textId="77777777" w:rsidR="00BE5567" w:rsidRDefault="00672CCE">
      <w:pPr>
        <w:spacing w:after="120"/>
        <w:rPr>
          <w:rFonts w:asciiTheme="minorHAnsi" w:hAnsiTheme="minorHAnsi"/>
        </w:rPr>
      </w:pPr>
      <w:r>
        <w:rPr>
          <w:rFonts w:asciiTheme="minorHAnsi" w:hAnsiTheme="minorHAnsi"/>
        </w:rPr>
        <w:t>隨著多起因為父母虐待和忽視造成的幼童死亡案件引起社會關注，有報告指出，目前正在起草新的兒童法律，以強調現有兒童法實施的必要性，並加強保護幼童。</w:t>
      </w:r>
      <w:r>
        <w:rPr>
          <w:rStyle w:val="FootnoteReference"/>
          <w:rFonts w:asciiTheme="minorHAnsi" w:hAnsiTheme="minorHAnsi"/>
        </w:rPr>
        <w:footnoteReference w:id="3"/>
      </w:r>
      <w:r>
        <w:rPr>
          <w:rFonts w:asciiTheme="minorHAnsi" w:hAnsiTheme="minorHAnsi"/>
        </w:rPr>
        <w:t xml:space="preserve"> 然而，2015 年 12 月通過的《反家庭暴力法》（於 2016 年 3 月實施），並無明確禁止對兒童的體罰。其中第 12 條規定，禁止監護人對兒童實施暴力，但無明文禁止體罰。其中第 2 條所定義的家庭暴力，「是指家庭成員之間以毆打、捆綁、殘害、限制人身自由以及經常性謾罵、恐嚇等方式實施的身體、精神等侵害行為」。根據這項法律，兒童在法律上受到保護不受某些形式的體罰，但並非所有形式的體罰。</w:t>
      </w:r>
    </w:p>
    <w:p w14:paraId="7A722C2D" w14:textId="77777777" w:rsidR="00BE5567" w:rsidRDefault="00BE5567">
      <w:pPr>
        <w:spacing w:after="120"/>
        <w:rPr>
          <w:rFonts w:asciiTheme="minorHAnsi" w:hAnsiTheme="minorHAnsi" w:cstheme="minorHAnsi"/>
          <w:b/>
        </w:rPr>
      </w:pPr>
    </w:p>
    <w:p w14:paraId="1084E424" w14:textId="594D7C6F" w:rsidR="00BE5567" w:rsidRDefault="00672CCE">
      <w:pPr>
        <w:pStyle w:val="Heading3"/>
        <w:spacing w:before="0" w:after="120"/>
        <w:rPr>
          <w:rFonts w:ascii="Amaranth" w:hAnsi="Amaranth" w:cstheme="minorHAnsi"/>
          <w:b w:val="0"/>
          <w:sz w:val="24"/>
        </w:rPr>
      </w:pPr>
      <w:r>
        <w:rPr>
          <w:rFonts w:ascii="Amaranth" w:hAnsi="Amaranth" w:cstheme="minorHAnsi"/>
          <w:sz w:val="24"/>
        </w:rPr>
        <w:t>非傳統照護場所</w:t>
      </w:r>
    </w:p>
    <w:p w14:paraId="04C8B998" w14:textId="77777777" w:rsidR="00BE5567" w:rsidRDefault="00672CCE">
      <w:pPr>
        <w:spacing w:after="120"/>
        <w:rPr>
          <w:rFonts w:asciiTheme="minorHAnsi" w:hAnsiTheme="minorHAnsi"/>
          <w:b/>
          <w:u w:val="single"/>
        </w:rPr>
      </w:pPr>
      <w:r>
        <w:rPr>
          <w:rFonts w:asciiTheme="minorHAnsi" w:hAnsiTheme="minorHAnsi"/>
        </w:rPr>
        <w:t>在非傳統照護場所中，無明確禁止體罰（資訊有待確認）。</w:t>
      </w:r>
    </w:p>
    <w:p w14:paraId="0CAB997A" w14:textId="77777777" w:rsidR="00BE5567" w:rsidRDefault="00BE5567">
      <w:pPr>
        <w:spacing w:after="120"/>
        <w:rPr>
          <w:rFonts w:asciiTheme="minorHAnsi" w:hAnsiTheme="minorHAnsi" w:cstheme="minorHAnsi"/>
        </w:rPr>
      </w:pPr>
    </w:p>
    <w:p w14:paraId="56E90498" w14:textId="3030DCF6" w:rsidR="00BE5567" w:rsidRDefault="00672CCE">
      <w:pPr>
        <w:pStyle w:val="Heading3"/>
        <w:spacing w:before="0" w:after="120"/>
        <w:rPr>
          <w:rFonts w:ascii="Amaranth" w:hAnsi="Amaranth" w:cstheme="minorHAnsi"/>
          <w:b w:val="0"/>
          <w:sz w:val="24"/>
        </w:rPr>
      </w:pPr>
      <w:r>
        <w:rPr>
          <w:rFonts w:ascii="Amaranth" w:hAnsi="Amaranth" w:cstheme="minorHAnsi"/>
          <w:sz w:val="24"/>
        </w:rPr>
        <w:t>日托</w:t>
      </w:r>
    </w:p>
    <w:p w14:paraId="0153D0F2" w14:textId="77777777" w:rsidR="00BE5567" w:rsidRDefault="00672CCE">
      <w:pPr>
        <w:spacing w:after="120"/>
        <w:rPr>
          <w:rFonts w:asciiTheme="minorHAnsi" w:hAnsiTheme="minorHAnsi"/>
        </w:rPr>
      </w:pPr>
      <w:r>
        <w:rPr>
          <w:rFonts w:asciiTheme="minorHAnsi" w:hAnsiTheme="minorHAnsi"/>
        </w:rPr>
        <w:t>《未成年人保護法》(2006)（於 2012 年修改）規定禁止在幼兒園和托兒所場所實施體罰，於第 21 條明列「學校、幼兒園和托兒所的教職和行政人員，應當尊重未成年的人格尊嚴，不准進行體罰或變相體罰，或者施行任何侮辱未成年人人格的行為」。第 63 條指出：「……學校、幼稚園、托</w:t>
      </w:r>
      <w:r>
        <w:rPr>
          <w:rFonts w:asciiTheme="minorHAnsi" w:hAnsiTheme="minorHAnsi"/>
        </w:rPr>
        <w:lastRenderedPageBreak/>
        <w:t>兒所教職員工對未成年人實施體罰、變相體罰或者其他侮辱人格行為的，由其所在單位或者上級機關責令改正；情節嚴重的，依法給予處分。」</w:t>
      </w:r>
    </w:p>
    <w:p w14:paraId="078371BD" w14:textId="77777777" w:rsidR="00BE5567" w:rsidRDefault="00672CCE">
      <w:pPr>
        <w:spacing w:after="120"/>
        <w:rPr>
          <w:rFonts w:asciiTheme="minorHAnsi" w:hAnsiTheme="minorHAnsi"/>
        </w:rPr>
      </w:pPr>
      <w:r>
        <w:rPr>
          <w:rFonts w:asciiTheme="minorHAnsi" w:hAnsiTheme="minorHAnsi"/>
        </w:rPr>
        <w:t>似乎並沒有明確禁止其他幼兒照護（托兒所、家庭中心等），或較年長兒童的全日托護理（日托中心、課後孩童照護、孩童照看等）</w:t>
      </w:r>
    </w:p>
    <w:p w14:paraId="16B9FB63" w14:textId="77777777" w:rsidR="00BE5567" w:rsidRDefault="00BE5567">
      <w:pPr>
        <w:spacing w:after="120"/>
        <w:rPr>
          <w:rFonts w:asciiTheme="minorHAnsi" w:hAnsiTheme="minorHAnsi" w:cstheme="minorHAnsi"/>
        </w:rPr>
      </w:pPr>
    </w:p>
    <w:p w14:paraId="7A722C2E" w14:textId="77777777" w:rsidR="00BE5567" w:rsidRDefault="00672CCE">
      <w:pPr>
        <w:pStyle w:val="Heading3"/>
        <w:spacing w:before="0" w:after="120"/>
        <w:rPr>
          <w:rFonts w:ascii="Amaranth" w:hAnsi="Amaranth" w:cstheme="minorHAnsi"/>
          <w:b w:val="0"/>
          <w:sz w:val="24"/>
        </w:rPr>
      </w:pPr>
      <w:r>
        <w:rPr>
          <w:rFonts w:ascii="Amaranth" w:hAnsi="Amaranth" w:cstheme="minorHAnsi"/>
          <w:sz w:val="24"/>
        </w:rPr>
        <w:t>學校</w:t>
      </w:r>
    </w:p>
    <w:p w14:paraId="30C3B908" w14:textId="77777777" w:rsidR="00BE5567" w:rsidRDefault="00672CCE">
      <w:pPr>
        <w:autoSpaceDE w:val="0"/>
        <w:autoSpaceDN w:val="0"/>
        <w:adjustRightInd w:val="0"/>
        <w:spacing w:after="120"/>
        <w:rPr>
          <w:rFonts w:asciiTheme="minorHAnsi" w:hAnsiTheme="minorHAnsi"/>
        </w:rPr>
      </w:pPr>
      <w:r>
        <w:rPr>
          <w:rFonts w:asciiTheme="minorHAnsi" w:hAnsiTheme="minorHAnsi"/>
        </w:rPr>
        <w:t>在學校中禁止體罰 《義務教育法》(1986) 第 5 條規定，「禁止對學生實施體罰。」 根據《教師法》(1994) 第 37 條的規定，「體罰學生，經教育不改的」教師，須接受行政處分或者解聘，且若「情節嚴重，構成犯罪的，依法追究刑事責任」。《預防未成年人犯罪法》(1999) 規定，禁止對就讀工讀學校有嚴重不良行為的未成年人實施體罰（第 36 條）：「…… 家庭、學校應當關心、愛護在工讀學校就讀的未成年人，尊重他們的人格尊嚴，不得體罰、虐待和歧視……」 《未成年人保護法》(2006) 第 21 條中明確禁止體罰（參見「日托」）。</w:t>
      </w:r>
    </w:p>
    <w:p w14:paraId="7A722C30" w14:textId="77777777" w:rsidR="00BE5567" w:rsidRDefault="00BE5567">
      <w:pPr>
        <w:spacing w:after="120"/>
        <w:rPr>
          <w:rFonts w:asciiTheme="minorHAnsi" w:hAnsiTheme="minorHAnsi" w:cstheme="minorHAnsi"/>
        </w:rPr>
      </w:pPr>
    </w:p>
    <w:p w14:paraId="7A722C31" w14:textId="62D88AAA" w:rsidR="00BE5567" w:rsidRDefault="00672CCE">
      <w:pPr>
        <w:pStyle w:val="Heading3"/>
        <w:spacing w:before="0" w:after="120"/>
        <w:rPr>
          <w:rFonts w:ascii="Amaranth" w:hAnsi="Amaranth" w:cstheme="minorHAnsi"/>
          <w:b w:val="0"/>
          <w:sz w:val="24"/>
        </w:rPr>
      </w:pPr>
      <w:r>
        <w:rPr>
          <w:rFonts w:ascii="Amaranth" w:hAnsi="Amaranth" w:cstheme="minorHAnsi"/>
          <w:sz w:val="24"/>
        </w:rPr>
        <w:t>刑罰機構</w:t>
      </w:r>
    </w:p>
    <w:p w14:paraId="0D317598" w14:textId="77777777" w:rsidR="00BE5567" w:rsidRDefault="00672CCE">
      <w:pPr>
        <w:autoSpaceDE w:val="0"/>
        <w:autoSpaceDN w:val="0"/>
        <w:adjustRightInd w:val="0"/>
        <w:spacing w:after="120"/>
        <w:rPr>
          <w:rFonts w:asciiTheme="minorHAnsi" w:eastAsiaTheme="minorHAnsi" w:hAnsiTheme="minorHAnsi"/>
        </w:rPr>
      </w:pPr>
      <w:r>
        <w:rPr>
          <w:rFonts w:asciiTheme="minorHAnsi" w:hAnsiTheme="minorHAnsi"/>
        </w:rPr>
        <w:t xml:space="preserve">在眾多法律中，明確禁止體罰作為懲罰機構的紀律措施。《刑法》(1979) 第 248 條規定，「監獄、拘留所、看守所等監管機構的監管人員對被監管人進行毆打或者體罰虐待，情節嚴重的，處三年以下有期徒刑或者拘役。情節特別嚴重的，處三年以上十年以下有期徒刑。致人傷殘、死亡的，依照本法第 234 條、第 232 條的規定定罪從重處罰……」 </w:t>
      </w:r>
    </w:p>
    <w:p w14:paraId="3D78FD91" w14:textId="77777777" w:rsidR="00BE5567" w:rsidRDefault="00672CCE">
      <w:pPr>
        <w:autoSpaceDE w:val="0"/>
        <w:autoSpaceDN w:val="0"/>
        <w:adjustRightInd w:val="0"/>
        <w:spacing w:after="120"/>
        <w:rPr>
          <w:rFonts w:asciiTheme="minorHAnsi" w:hAnsiTheme="minorHAnsi"/>
        </w:rPr>
      </w:pPr>
      <w:r>
        <w:rPr>
          <w:rFonts w:asciiTheme="minorHAnsi" w:hAnsiTheme="minorHAnsi"/>
        </w:rPr>
        <w:t>《監獄法》第 14 條規定，「監獄的人民警察不得有下列行為：…… (3) 刑訊逼供或者體罰、虐待罪犯；(4) 侮辱罪犯的人格；(5) 毆打或者縱容他人毆打罪犯；……」 《人民警察法》第 22 條規定：「人民警察不得有下列行為： ……(4) 刑訊逼供或者體罰、虐待人犯；……」 《預防未成年人犯罪法 》(1999) 第 36 條亦適用（參見「首頁」），禁令列於《看守所民警執勤行為規範》(2001)。2006 年，司法部頒布了《監獄人民警察六條禁令》和《勞教人民警察六條禁令》，其中包括不論懲罰後果輕重，嚴格禁止毆打和體罰服刑人員或勞教人員，以及教唆他人毆打和體罰服刑人員或勞教人員。</w:t>
      </w:r>
      <w:r>
        <w:rPr>
          <w:rStyle w:val="FootnoteReference"/>
          <w:rFonts w:asciiTheme="minorHAnsi" w:hAnsiTheme="minorHAnsi"/>
        </w:rPr>
        <w:footnoteReference w:id="4"/>
      </w:r>
      <w:r>
        <w:rPr>
          <w:rFonts w:asciiTheme="minorHAnsi" w:hAnsiTheme="minorHAnsi"/>
        </w:rPr>
        <w:t xml:space="preserve"> 《公安機關人民警察紀律條令》(2010) 對於體罰犯罪嫌疑人與被監管人員給予處分。</w:t>
      </w:r>
      <w:r>
        <w:rPr>
          <w:rStyle w:val="FootnoteReference"/>
          <w:rFonts w:asciiTheme="minorHAnsi" w:hAnsiTheme="minorHAnsi"/>
        </w:rPr>
        <w:footnoteReference w:id="5"/>
      </w:r>
    </w:p>
    <w:p w14:paraId="65A48A1A" w14:textId="77777777" w:rsidR="00BE5567" w:rsidRDefault="00672CCE">
      <w:pPr>
        <w:autoSpaceDE w:val="0"/>
        <w:autoSpaceDN w:val="0"/>
        <w:adjustRightInd w:val="0"/>
        <w:spacing w:after="120"/>
        <w:rPr>
          <w:rFonts w:asciiTheme="minorHAnsi" w:hAnsiTheme="minorHAnsi"/>
        </w:rPr>
      </w:pPr>
      <w:r>
        <w:rPr>
          <w:rFonts w:asciiTheme="minorHAnsi" w:hAnsiTheme="minorHAnsi"/>
        </w:rPr>
        <w:t>拘留所條例 (1990) 第 4 條明列：「對拘留所內被拘留人士，必須依照法律以科學和文明的方式進行管理，以保障其合法權益。嚴格禁止對被拘留人士進行毆打、體罰和虐待。」 《拘留所條例》(</w:t>
      </w:r>
      <w:r>
        <w:rPr>
          <w:rFonts w:asciiTheme="minorHAnsi" w:hAnsiTheme="minorHAnsi"/>
        </w:rPr>
        <w:lastRenderedPageBreak/>
        <w:t>2012)（第 3 條）也有類似規定：「 拘留所必須依法保證被拘留人士的人身安全和合法權益，不得侮辱、體罰和虐待被拘留人士，並且不得教唆和慫恿他人對被拘留人士進行侮辱、體罰和虐待。」</w:t>
      </w:r>
    </w:p>
    <w:p w14:paraId="7452ECE5" w14:textId="77777777" w:rsidR="00BE5567" w:rsidRDefault="00672CCE">
      <w:pPr>
        <w:autoSpaceDE w:val="0"/>
        <w:autoSpaceDN w:val="0"/>
        <w:adjustRightInd w:val="0"/>
        <w:spacing w:after="120"/>
        <w:rPr>
          <w:rFonts w:asciiTheme="minorHAnsi" w:hAnsiTheme="minorHAnsi"/>
        </w:rPr>
      </w:pPr>
      <w:r>
        <w:rPr>
          <w:rFonts w:asciiTheme="minorHAnsi" w:hAnsiTheme="minorHAnsi"/>
        </w:rPr>
        <w:t>2012 年，高級人民法院就刑事訴訟法做出解釋，對被告施行體罰或變相施行體罰認定「為《刑事訴訟法》第 54 條規定的刑訊逼供等非法方法」。</w:t>
      </w:r>
      <w:r>
        <w:rPr>
          <w:rStyle w:val="FootnoteReference"/>
          <w:rFonts w:asciiTheme="minorHAnsi" w:hAnsiTheme="minorHAnsi"/>
        </w:rPr>
        <w:footnoteReference w:id="6"/>
      </w:r>
    </w:p>
    <w:p w14:paraId="3A0D5D70" w14:textId="4748E71E" w:rsidR="00BE5567" w:rsidRDefault="00BE5567">
      <w:pPr>
        <w:spacing w:after="120"/>
        <w:rPr>
          <w:rFonts w:asciiTheme="minorHAnsi" w:hAnsiTheme="minorHAnsi" w:cstheme="minorHAnsi"/>
        </w:rPr>
      </w:pPr>
    </w:p>
    <w:p w14:paraId="2504E16D" w14:textId="79448A55" w:rsidR="00BE5567" w:rsidRDefault="00672CCE">
      <w:pPr>
        <w:pStyle w:val="Heading3"/>
        <w:spacing w:before="0" w:after="120"/>
        <w:rPr>
          <w:rFonts w:ascii="Amaranth" w:hAnsi="Amaranth" w:cstheme="minorHAnsi"/>
          <w:sz w:val="24"/>
        </w:rPr>
      </w:pPr>
      <w:r>
        <w:rPr>
          <w:rFonts w:ascii="Amaranth" w:hAnsi="Amaranth" w:cstheme="minorHAnsi"/>
          <w:sz w:val="24"/>
        </w:rPr>
        <w:t>犯罪刑罰</w:t>
      </w:r>
    </w:p>
    <w:p w14:paraId="151DD0CD" w14:textId="77777777" w:rsidR="00BE5567" w:rsidRDefault="00672CCE">
      <w:pPr>
        <w:spacing w:after="120"/>
        <w:rPr>
          <w:rFonts w:asciiTheme="minorHAnsi" w:hAnsiTheme="minorHAnsi"/>
        </w:rPr>
      </w:pPr>
      <w:r>
        <w:rPr>
          <w:rFonts w:asciiTheme="minorHAnsi" w:hAnsiTheme="minorHAnsi"/>
        </w:rPr>
        <w:t>體罰是可定罪的非法行為。《刑法》(1979) 未就司法體罰作出任何規定。</w:t>
      </w:r>
    </w:p>
    <w:p w14:paraId="2396A7DC" w14:textId="18F1F693" w:rsidR="00BE5567" w:rsidRDefault="00BE5567">
      <w:pPr>
        <w:spacing w:after="120"/>
        <w:rPr>
          <w:rFonts w:asciiTheme="minorHAnsi" w:hAnsiTheme="minorHAnsi" w:cstheme="minorHAnsi"/>
        </w:rPr>
      </w:pPr>
    </w:p>
    <w:p w14:paraId="58DBDD6F" w14:textId="77777777" w:rsidR="00BE5567" w:rsidRDefault="00672CCE">
      <w:pPr>
        <w:pStyle w:val="Heading3"/>
        <w:spacing w:before="0" w:after="120"/>
        <w:rPr>
          <w:rFonts w:asciiTheme="minorHAnsi" w:hAnsiTheme="minorHAnsi"/>
        </w:rPr>
      </w:pPr>
      <w:r>
        <w:rPr>
          <w:rFonts w:ascii="Amaranth" w:hAnsi="Amaranth" w:cstheme="minorHAnsi"/>
          <w:sz w:val="24"/>
        </w:rPr>
        <w:t>其他</w:t>
      </w:r>
    </w:p>
    <w:p w14:paraId="05CADF04" w14:textId="77777777" w:rsidR="00BE5567" w:rsidRDefault="00672CCE">
      <w:pPr>
        <w:autoSpaceDE w:val="0"/>
        <w:autoSpaceDN w:val="0"/>
        <w:adjustRightInd w:val="0"/>
        <w:spacing w:after="120"/>
        <w:rPr>
          <w:rFonts w:asciiTheme="minorHAnsi" w:hAnsiTheme="minorHAnsi"/>
        </w:rPr>
      </w:pPr>
      <w:r>
        <w:rPr>
          <w:rFonts w:asciiTheme="minorHAnsi" w:hAnsiTheme="minorHAnsi"/>
        </w:rPr>
        <w:t>於 2011 年採用的《戒毒法》（第 45 條）明令禁止體罰。</w:t>
      </w:r>
      <w:r>
        <w:rPr>
          <w:rStyle w:val="FootnoteReference"/>
          <w:rFonts w:asciiTheme="minorHAnsi" w:hAnsiTheme="minorHAnsi"/>
        </w:rPr>
        <w:footnoteReference w:id="7"/>
      </w:r>
      <w:r>
        <w:rPr>
          <w:rFonts w:asciiTheme="minorHAnsi" w:hAnsiTheme="minorHAnsi"/>
        </w:rPr>
        <w:t xml:space="preserve"> </w:t>
      </w:r>
    </w:p>
    <w:p w14:paraId="158D216C" w14:textId="77777777" w:rsidR="00BE5567" w:rsidRDefault="00BE5567">
      <w:pPr>
        <w:spacing w:after="120"/>
        <w:rPr>
          <w:rFonts w:asciiTheme="minorHAnsi" w:hAnsiTheme="minorHAnsi" w:cstheme="minorHAnsi"/>
        </w:rPr>
      </w:pPr>
    </w:p>
    <w:p w14:paraId="05F1357F" w14:textId="26425F4B" w:rsidR="00BE5567" w:rsidRDefault="00672CCE">
      <w:pPr>
        <w:pStyle w:val="Heading2"/>
        <w:spacing w:after="120"/>
        <w:rPr>
          <w:rFonts w:ascii="Amaranth" w:eastAsia="Calibri" w:hAnsi="Amaranth" w:cstheme="minorHAnsi"/>
          <w:sz w:val="28"/>
        </w:rPr>
      </w:pPr>
      <w:r>
        <w:rPr>
          <w:rFonts w:ascii="Amaranth" w:eastAsia="Calibri" w:hAnsi="Amaranth" w:cstheme="minorHAnsi"/>
          <w:sz w:val="28"/>
        </w:rPr>
        <w:t>普遍定期審議之中國人權紀錄</w:t>
      </w:r>
    </w:p>
    <w:p w14:paraId="59219F9E" w14:textId="77777777" w:rsidR="00BE5567" w:rsidRDefault="00672CCE">
      <w:pPr>
        <w:spacing w:after="120"/>
        <w:rPr>
          <w:rFonts w:asciiTheme="minorHAnsi" w:hAnsiTheme="minorHAnsi"/>
        </w:rPr>
      </w:pPr>
      <w:r>
        <w:rPr>
          <w:rFonts w:asciiTheme="minorHAnsi" w:hAnsiTheme="minorHAnsi"/>
        </w:rPr>
        <w:t>2009 年，普遍定期審議在第一循環（第 4 期）中對中國進行了審查。對於兒童體罰問題，沒有做出詳細的建議。然而，他們提出了下列建議，並且得到政府承認：</w:t>
      </w:r>
      <w:r>
        <w:rPr>
          <w:rStyle w:val="FootnoteReference"/>
          <w:rFonts w:asciiTheme="minorHAnsi" w:hAnsiTheme="minorHAnsi"/>
        </w:rPr>
        <w:footnoteReference w:id="8"/>
      </w:r>
    </w:p>
    <w:p w14:paraId="79F551E0" w14:textId="77777777" w:rsidR="00BE5567" w:rsidRDefault="00672CCE">
      <w:pPr>
        <w:spacing w:after="120"/>
        <w:ind w:left="720"/>
        <w:rPr>
          <w:rFonts w:asciiTheme="minorHAnsi" w:hAnsiTheme="minorHAnsi"/>
        </w:rPr>
      </w:pPr>
      <w:r>
        <w:rPr>
          <w:rFonts w:asciiTheme="minorHAnsi" w:hAnsiTheme="minorHAnsi"/>
        </w:rPr>
        <w:t>「繼續努力增進人權（阿曼）；繼續進行法律和司法改革、經濟發展及其他方面的工作，推動和諧社會、民主、法制和人權（越南）；</w:t>
      </w:r>
    </w:p>
    <w:p w14:paraId="53530AA4" w14:textId="77777777" w:rsidR="00BE5567" w:rsidRDefault="00672CCE">
      <w:pPr>
        <w:spacing w:after="120"/>
        <w:ind w:left="720"/>
        <w:rPr>
          <w:rFonts w:asciiTheme="minorHAnsi" w:hAnsiTheme="minorHAnsi"/>
        </w:rPr>
      </w:pPr>
      <w:r>
        <w:rPr>
          <w:rFonts w:asciiTheme="minorHAnsi" w:hAnsiTheme="minorHAnsi"/>
        </w:rPr>
        <w:t>「繼續使人們享有經濟、社會和文化權利，並依照國際標準來提高人民生活品質（尼加拉瓜）；</w:t>
      </w:r>
    </w:p>
    <w:p w14:paraId="33CC109E" w14:textId="77777777" w:rsidR="00BE5567" w:rsidRDefault="00672CCE">
      <w:pPr>
        <w:spacing w:after="120"/>
        <w:ind w:left="720"/>
        <w:rPr>
          <w:rFonts w:asciiTheme="minorHAnsi" w:hAnsiTheme="minorHAnsi"/>
        </w:rPr>
      </w:pPr>
      <w:r>
        <w:rPr>
          <w:rFonts w:asciiTheme="minorHAnsi" w:hAnsiTheme="minorHAnsi"/>
        </w:rPr>
        <w:t>「更加重視透過國家社會經濟發展計劃來保護兒童權利（卡達）」</w:t>
      </w:r>
    </w:p>
    <w:p w14:paraId="36A64B7A" w14:textId="77777777" w:rsidR="00BE5567" w:rsidRDefault="00672CCE">
      <w:pPr>
        <w:spacing w:after="120"/>
        <w:rPr>
          <w:rFonts w:asciiTheme="minorHAnsi" w:hAnsiTheme="minorHAnsi"/>
        </w:rPr>
      </w:pPr>
      <w:r>
        <w:rPr>
          <w:rFonts w:asciiTheme="minorHAnsi" w:hAnsiTheme="minorHAnsi"/>
        </w:rPr>
        <w:t>2013 年，進行了第二個審查循環（第 17 期）。對於兒童體罰問題，沒有做出詳細的建議。然而，對於兒童體罰問題，他們提出了下列相關建議，並且得到政府承認：</w:t>
      </w:r>
      <w:r>
        <w:rPr>
          <w:rStyle w:val="FootnoteReference"/>
          <w:rFonts w:asciiTheme="minorHAnsi" w:hAnsiTheme="minorHAnsi"/>
        </w:rPr>
        <w:footnoteReference w:id="9"/>
      </w:r>
    </w:p>
    <w:p w14:paraId="24AA4523" w14:textId="77777777" w:rsidR="00BE5567" w:rsidRDefault="00672CCE">
      <w:pPr>
        <w:spacing w:after="120"/>
        <w:ind w:left="720"/>
        <w:rPr>
          <w:rFonts w:asciiTheme="minorHAnsi" w:hAnsiTheme="minorHAnsi"/>
        </w:rPr>
      </w:pPr>
      <w:r>
        <w:rPr>
          <w:rFonts w:asciiTheme="minorHAnsi" w:hAnsiTheme="minorHAnsi"/>
        </w:rPr>
        <w:t>「繼續審查國家立法確保其符合國際人權法義務（土庫曼）；</w:t>
      </w:r>
    </w:p>
    <w:p w14:paraId="332B23EF" w14:textId="77777777" w:rsidR="00BE5567" w:rsidRDefault="00672CCE">
      <w:pPr>
        <w:spacing w:after="120"/>
        <w:ind w:left="720"/>
        <w:rPr>
          <w:rFonts w:asciiTheme="minorHAnsi" w:hAnsiTheme="minorHAnsi"/>
        </w:rPr>
      </w:pPr>
      <w:r>
        <w:rPr>
          <w:rFonts w:asciiTheme="minorHAnsi" w:hAnsiTheme="minorHAnsi"/>
        </w:rPr>
        <w:t>「繼續考慮各條約機構和其他機制的意見（肯亞）；</w:t>
      </w:r>
    </w:p>
    <w:p w14:paraId="190E67F6" w14:textId="77777777" w:rsidR="00BE5567" w:rsidRDefault="00672CCE">
      <w:pPr>
        <w:spacing w:after="120"/>
        <w:ind w:left="720"/>
        <w:rPr>
          <w:rFonts w:asciiTheme="minorHAnsi" w:hAnsiTheme="minorHAnsi"/>
        </w:rPr>
      </w:pPr>
      <w:r>
        <w:rPr>
          <w:rFonts w:asciiTheme="minorHAnsi" w:hAnsiTheme="minorHAnsi"/>
        </w:rPr>
        <w:lastRenderedPageBreak/>
        <w:t>「繼續保護兒童權利（模里西斯）；</w:t>
      </w:r>
    </w:p>
    <w:p w14:paraId="58B6FD91" w14:textId="77777777" w:rsidR="00BE5567" w:rsidRDefault="00672CCE">
      <w:pPr>
        <w:spacing w:after="120"/>
        <w:ind w:left="720"/>
        <w:rPr>
          <w:rFonts w:asciiTheme="minorHAnsi" w:hAnsiTheme="minorHAnsi"/>
        </w:rPr>
      </w:pPr>
      <w:r>
        <w:rPr>
          <w:rFonts w:asciiTheme="minorHAnsi" w:hAnsiTheme="minorHAnsi"/>
        </w:rPr>
        <w:t>「繼續努力促進和保護兒童權利，包括採取進一步行動解決兒童被拐、營養不良和遭到遺棄的問題（衣索比亞）；</w:t>
      </w:r>
    </w:p>
    <w:p w14:paraId="7A722C3E" w14:textId="77777777" w:rsidR="00BE5567" w:rsidRDefault="00BE5567">
      <w:pPr>
        <w:spacing w:after="120"/>
        <w:rPr>
          <w:rFonts w:asciiTheme="minorHAnsi" w:hAnsiTheme="minorHAnsi" w:cstheme="minorHAnsi"/>
          <w:b/>
          <w:sz w:val="28"/>
          <w:u w:val="single"/>
        </w:rPr>
      </w:pPr>
    </w:p>
    <w:p w14:paraId="7A722C3F" w14:textId="3CD0C6EB" w:rsidR="00BE5567" w:rsidRDefault="00672CCE">
      <w:pPr>
        <w:pStyle w:val="Heading2"/>
        <w:spacing w:after="120"/>
        <w:rPr>
          <w:rFonts w:ascii="Amaranth" w:hAnsi="Amaranth" w:cstheme="minorHAnsi"/>
          <w:sz w:val="28"/>
        </w:rPr>
      </w:pPr>
      <w:bookmarkStart w:id="2" w:name="_Toc197483587"/>
      <w:r>
        <w:rPr>
          <w:rFonts w:ascii="Amaranth" w:hAnsi="Amaranth" w:cstheme="minorHAnsi"/>
          <w:sz w:val="28"/>
        </w:rPr>
        <w:t>人權條約機構建議</w:t>
      </w:r>
      <w:bookmarkEnd w:id="2"/>
    </w:p>
    <w:p w14:paraId="7A722C40" w14:textId="77777777" w:rsidR="00BE5567" w:rsidRDefault="00672CCE">
      <w:pPr>
        <w:pStyle w:val="Heading3"/>
        <w:spacing w:before="0" w:after="120"/>
        <w:rPr>
          <w:rFonts w:ascii="Amaranth" w:hAnsi="Amaranth" w:cstheme="minorHAnsi"/>
          <w:i/>
          <w:sz w:val="24"/>
        </w:rPr>
      </w:pPr>
      <w:r>
        <w:rPr>
          <w:rFonts w:ascii="Amaranth" w:hAnsi="Amaranth" w:cstheme="minorHAnsi"/>
          <w:i/>
          <w:sz w:val="24"/>
        </w:rPr>
        <w:t>兒童權利委員會</w:t>
      </w:r>
      <w:r>
        <w:rPr>
          <w:rFonts w:ascii="Amaranth" w:hAnsi="Amaranth" w:cstheme="minorHAnsi"/>
          <w:i/>
          <w:sz w:val="24"/>
        </w:rPr>
        <w:t>​</w:t>
      </w:r>
    </w:p>
    <w:p w14:paraId="514362A9" w14:textId="77777777" w:rsidR="00BE5567" w:rsidRDefault="00672CCE">
      <w:pPr>
        <w:spacing w:after="120"/>
        <w:rPr>
          <w:rFonts w:asciiTheme="minorHAnsi" w:hAnsiTheme="minorHAnsi"/>
        </w:rPr>
      </w:pPr>
      <w:r>
        <w:rPr>
          <w:rFonts w:asciiTheme="minorHAnsi" w:hAnsiTheme="minorHAnsi"/>
        </w:rPr>
        <w:t>（2013 年 10 月 29 日，第 3/4 次報告的結論性觀察，CRC/C/CHN/CO/3-4，第 6 與第 7 項）</w:t>
      </w:r>
    </w:p>
    <w:p w14:paraId="212CC536" w14:textId="77777777" w:rsidR="00BE5567" w:rsidRDefault="00672CCE">
      <w:pPr>
        <w:spacing w:after="120"/>
        <w:rPr>
          <w:rFonts w:asciiTheme="minorHAnsi" w:hAnsiTheme="minorHAnsi"/>
        </w:rPr>
      </w:pPr>
      <w:r>
        <w:rPr>
          <w:rFonts w:asciiTheme="minorHAnsi" w:hAnsiTheme="minorHAnsi"/>
        </w:rPr>
        <w:t>「委員會鼓勵締約國努力落實委員會 2005 年對締約國的第二次定期報告提出的結論性觀察 (CRC/C/CHN/CO/2)，但遺憾地發現，其中一些建議尚未得到充分處理。</w:t>
      </w:r>
    </w:p>
    <w:p w14:paraId="4D967DF6" w14:textId="77777777" w:rsidR="00BE5567" w:rsidRDefault="00672CCE">
      <w:pPr>
        <w:spacing w:after="120"/>
        <w:rPr>
          <w:rFonts w:asciiTheme="minorHAnsi" w:hAnsiTheme="minorHAnsi"/>
        </w:rPr>
      </w:pPr>
      <w:r>
        <w:rPr>
          <w:rFonts w:asciiTheme="minorHAnsi" w:hAnsiTheme="minorHAnsi"/>
        </w:rPr>
        <w:t>委員會回顧以前的建議，建議締約國採取一切必要措施，處理尚未落實或落實不充分的建議，促請締約國：……</w:t>
      </w:r>
    </w:p>
    <w:p w14:paraId="216B1BF0" w14:textId="77777777" w:rsidR="00BE5567" w:rsidRDefault="00672CCE">
      <w:pPr>
        <w:spacing w:after="120"/>
        <w:rPr>
          <w:rFonts w:asciiTheme="minorHAnsi" w:hAnsiTheme="minorHAnsi"/>
        </w:rPr>
      </w:pPr>
      <w:r>
        <w:rPr>
          <w:rFonts w:asciiTheme="minorHAnsi" w:hAnsiTheme="minorHAnsi"/>
        </w:rPr>
        <w:t>c) 依法明確禁止家庭、學校、收容機構和其他包括刑罰機構等所有場合中的體罰。」</w:t>
      </w:r>
    </w:p>
    <w:p w14:paraId="251B8A4D" w14:textId="77777777" w:rsidR="00BE5567" w:rsidRDefault="00BE5567">
      <w:pPr>
        <w:autoSpaceDE w:val="0"/>
        <w:autoSpaceDN w:val="0"/>
        <w:adjustRightInd w:val="0"/>
        <w:spacing w:after="120"/>
        <w:rPr>
          <w:rFonts w:asciiTheme="minorHAnsi" w:hAnsiTheme="minorHAnsi"/>
        </w:rPr>
      </w:pPr>
    </w:p>
    <w:p w14:paraId="43E33B09" w14:textId="79D88E82" w:rsidR="00BE5567" w:rsidRDefault="00672CCE">
      <w:pPr>
        <w:pStyle w:val="SingleTxtG"/>
        <w:spacing w:line="240" w:lineRule="auto"/>
        <w:ind w:left="0" w:right="0"/>
        <w:jc w:val="left"/>
        <w:rPr>
          <w:rFonts w:ascii="Amaranth" w:hAnsi="Amaranth" w:cstheme="minorHAnsi"/>
          <w:i/>
          <w:sz w:val="24"/>
        </w:rPr>
      </w:pPr>
      <w:r>
        <w:rPr>
          <w:rFonts w:ascii="Amaranth" w:hAnsi="Amaranth" w:cstheme="minorHAnsi"/>
          <w:i/>
          <w:sz w:val="24"/>
        </w:rPr>
        <w:t>兒童權利委員會</w:t>
      </w:r>
      <w:r>
        <w:rPr>
          <w:rFonts w:ascii="Amaranth" w:hAnsi="Amaranth" w:cstheme="minorHAnsi"/>
          <w:i/>
          <w:sz w:val="24"/>
        </w:rPr>
        <w:t>​</w:t>
      </w:r>
    </w:p>
    <w:p w14:paraId="2C645DE4" w14:textId="77777777" w:rsidR="00BE5567" w:rsidRDefault="00672CCE">
      <w:pPr>
        <w:autoSpaceDE w:val="0"/>
        <w:autoSpaceDN w:val="0"/>
        <w:adjustRightInd w:val="0"/>
        <w:spacing w:after="120"/>
        <w:rPr>
          <w:rFonts w:asciiTheme="minorHAnsi" w:hAnsiTheme="minorHAnsi"/>
        </w:rPr>
      </w:pPr>
      <w:r>
        <w:rPr>
          <w:rFonts w:asciiTheme="minorHAnsi" w:hAnsiTheme="minorHAnsi"/>
        </w:rPr>
        <w:t>（2005 年 11 月 24 日，就中國（包括香港特別行政區和澳門特別行政區）第二次報告的結論性觀察，CRC/C/CHN/CO/2，第 46、47 與 48 項）</w:t>
      </w:r>
    </w:p>
    <w:p w14:paraId="2172B3BF" w14:textId="77777777" w:rsidR="00BE5567" w:rsidRDefault="00672CCE">
      <w:pPr>
        <w:autoSpaceDE w:val="0"/>
        <w:autoSpaceDN w:val="0"/>
        <w:adjustRightInd w:val="0"/>
        <w:spacing w:after="120"/>
        <w:rPr>
          <w:rFonts w:asciiTheme="minorHAnsi" w:hAnsiTheme="minorHAnsi"/>
        </w:rPr>
      </w:pPr>
      <w:r>
        <w:rPr>
          <w:rFonts w:asciiTheme="minorHAnsi" w:hAnsiTheme="minorHAnsi"/>
        </w:rPr>
        <w:t>「委員會關切中國大陸對於禁止學校體罰的現行規定，執行落實情況不平衡。同時也擔心，家庭體罰不在禁止之列，而且仍然為社會所接受。</w:t>
      </w:r>
    </w:p>
    <w:p w14:paraId="4866578A" w14:textId="77777777" w:rsidR="00BE5567" w:rsidRDefault="00672CCE">
      <w:pPr>
        <w:autoSpaceDE w:val="0"/>
        <w:autoSpaceDN w:val="0"/>
        <w:adjustRightInd w:val="0"/>
        <w:spacing w:after="120"/>
        <w:rPr>
          <w:rFonts w:asciiTheme="minorHAnsi" w:hAnsiTheme="minorHAnsi"/>
        </w:rPr>
      </w:pPr>
      <w:r>
        <w:rPr>
          <w:rFonts w:asciiTheme="minorHAnsi" w:hAnsiTheme="minorHAnsi"/>
        </w:rPr>
        <w:t>「委員會憂心，香港特區和澳門特區法律不禁止家庭體罰，並繼續在家庭中施行體罰。</w:t>
      </w:r>
    </w:p>
    <w:p w14:paraId="193928F8" w14:textId="77777777" w:rsidR="00BE5567" w:rsidRDefault="00672CCE">
      <w:pPr>
        <w:autoSpaceDE w:val="0"/>
        <w:autoSpaceDN w:val="0"/>
        <w:adjustRightInd w:val="0"/>
        <w:spacing w:after="120"/>
        <w:rPr>
          <w:rFonts w:asciiTheme="minorHAnsi" w:hAnsiTheme="minorHAnsi"/>
        </w:rPr>
      </w:pPr>
      <w:r>
        <w:rPr>
          <w:rFonts w:asciiTheme="minorHAnsi" w:hAnsiTheme="minorHAnsi"/>
        </w:rPr>
        <w:t>「委員會促請締約國在其管轄的所有地區內：</w:t>
      </w:r>
    </w:p>
    <w:p w14:paraId="40E571C8" w14:textId="77777777" w:rsidR="00BE5567" w:rsidRDefault="00672CCE">
      <w:pPr>
        <w:autoSpaceDE w:val="0"/>
        <w:autoSpaceDN w:val="0"/>
        <w:adjustRightInd w:val="0"/>
        <w:spacing w:after="120"/>
        <w:rPr>
          <w:rFonts w:asciiTheme="minorHAnsi" w:hAnsiTheme="minorHAnsi"/>
        </w:rPr>
      </w:pPr>
      <w:r>
        <w:rPr>
          <w:rFonts w:asciiTheme="minorHAnsi" w:hAnsiTheme="minorHAnsi"/>
        </w:rPr>
        <w:t>a) 依法明令禁止在家庭、學校、各類機構及其他任何場合，包括刑事機構進行體罰；</w:t>
      </w:r>
    </w:p>
    <w:p w14:paraId="3D4AEEA2" w14:textId="77777777" w:rsidR="00BE5567" w:rsidRDefault="00672CCE">
      <w:pPr>
        <w:autoSpaceDE w:val="0"/>
        <w:autoSpaceDN w:val="0"/>
        <w:adjustRightInd w:val="0"/>
        <w:spacing w:after="120"/>
        <w:rPr>
          <w:rFonts w:asciiTheme="minorHAnsi" w:hAnsiTheme="minorHAnsi"/>
        </w:rPr>
      </w:pPr>
      <w:r>
        <w:rPr>
          <w:rFonts w:asciiTheme="minorHAnsi" w:hAnsiTheme="minorHAnsi"/>
        </w:rPr>
        <w:t>b) 擴大展開有兒童參與的公眾教育與提高民眾意識的運動，宣傳不體罰，以非暴力方式的管教來取代，改變公眾對體罰的態度。」</w:t>
      </w:r>
    </w:p>
    <w:p w14:paraId="33204B07" w14:textId="77777777" w:rsidR="00BE5567" w:rsidRDefault="00BE5567">
      <w:pPr>
        <w:pStyle w:val="SingleTxtG"/>
        <w:spacing w:line="240" w:lineRule="auto"/>
        <w:ind w:left="0" w:right="0"/>
        <w:jc w:val="left"/>
        <w:rPr>
          <w:rFonts w:asciiTheme="minorHAnsi" w:hAnsiTheme="minorHAnsi" w:cstheme="minorHAnsi"/>
          <w:sz w:val="24"/>
        </w:rPr>
      </w:pPr>
    </w:p>
    <w:p w14:paraId="01540E00" w14:textId="77777777" w:rsidR="00BE5567" w:rsidRDefault="00672CCE">
      <w:pPr>
        <w:pStyle w:val="Heading2"/>
        <w:spacing w:after="120"/>
        <w:rPr>
          <w:rFonts w:ascii="Amaranth" w:hAnsi="Amaranth" w:cstheme="minorHAnsi"/>
          <w:sz w:val="28"/>
        </w:rPr>
      </w:pPr>
      <w:bookmarkStart w:id="3" w:name="_Toc197483586"/>
      <w:r>
        <w:rPr>
          <w:rFonts w:ascii="Amaranth" w:hAnsi="Amaranth" w:cstheme="minorHAnsi"/>
          <w:sz w:val="28"/>
        </w:rPr>
        <w:t>過去十年普及/態度研究</w:t>
      </w:r>
      <w:bookmarkEnd w:id="3"/>
    </w:p>
    <w:p w14:paraId="6793F9CE"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2014 年一項包含 2518 位 3 至 15 歲兒童父母的報告顯示，53.7% 的母親和 48.3% 的父親，在過去的一年裡有對孩子施行體罰。</w:t>
      </w:r>
    </w:p>
    <w:p w14:paraId="32E34E6B" w14:textId="4EC4A80D"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(Wang, M. &amp; Liu, L. (2014) “Parental harsh discipline in mainland </w:t>
      </w:r>
      <w:r w:rsidR="00E52300">
        <w:rPr>
          <w:rFonts w:asciiTheme="minorHAnsi" w:eastAsiaTheme="minorHAnsi" w:hAnsiTheme="minorHAnsi"/>
          <w:sz w:val="20"/>
        </w:rPr>
        <w:t>China: Prevalence, frequency, a</w:t>
      </w:r>
      <w:r w:rsidR="00E52300">
        <w:rPr>
          <w:rFonts w:asciiTheme="minorHAnsi" w:eastAsiaTheme="minorHAnsi" w:hAnsiTheme="minorHAnsi" w:hint="eastAsia"/>
          <w:sz w:val="20"/>
        </w:rPr>
        <w:t>n</w:t>
      </w:r>
      <w:r>
        <w:rPr>
          <w:rFonts w:asciiTheme="minorHAnsi" w:eastAsiaTheme="minorHAnsi" w:hAnsiTheme="minorHAnsi"/>
          <w:sz w:val="20"/>
        </w:rPr>
        <w:t xml:space="preserve">d coexistence”, </w:t>
      </w:r>
      <w:r>
        <w:rPr>
          <w:rFonts w:asciiTheme="minorHAnsi" w:eastAsiaTheme="minorHAnsi" w:hAnsiTheme="minorHAnsi"/>
          <w:i/>
          <w:iCs/>
          <w:sz w:val="20"/>
        </w:rPr>
        <w:t>Child Abuse &amp; Neglect,</w:t>
      </w:r>
      <w:r>
        <w:rPr>
          <w:rFonts w:asciiTheme="minorHAnsi" w:eastAsiaTheme="minorHAnsi" w:hAnsiTheme="minorHAnsi"/>
          <w:sz w:val="20"/>
        </w:rPr>
        <w:t xml:space="preserve"> 38(6), 1128-1137)</w:t>
      </w:r>
    </w:p>
    <w:p w14:paraId="55443F01"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lastRenderedPageBreak/>
        <w:t>在對 1200 名大學一年級和二年級學生做的問卷調查中，32.1% 的人表示在他們求學期間有受到老師的體罰。</w:t>
      </w:r>
    </w:p>
    <w:p w14:paraId="3631E4ED" w14:textId="77777777"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(UNICEF East Asia and Pacific Regional Office (2012), </w:t>
      </w:r>
      <w:r>
        <w:rPr>
          <w:rFonts w:asciiTheme="minorHAnsi" w:eastAsiaTheme="minorHAnsi" w:hAnsiTheme="minorHAnsi"/>
          <w:i/>
          <w:iCs/>
          <w:sz w:val="20"/>
        </w:rPr>
        <w:t>Child Maltreatment: Prevalence, Incidence and Consequences: A Systematic Review of Research</w:t>
      </w:r>
      <w:r>
        <w:rPr>
          <w:rFonts w:asciiTheme="minorHAnsi" w:eastAsiaTheme="minorHAnsi" w:hAnsiTheme="minorHAnsi"/>
          <w:sz w:val="20"/>
        </w:rPr>
        <w:t>, Bangkok: UNICEF)</w:t>
      </w:r>
    </w:p>
    <w:p w14:paraId="33283097"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在對 2363 位家長的研究中，43.8% 的人說他們有體罰過孩子；32.8% 說在過去的一年裡有體罰過孩子。</w:t>
      </w:r>
    </w:p>
    <w:p w14:paraId="27DCD830" w14:textId="77777777"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(Chan, K. L. (2010), “Co-occurrence of intimate partner violence and child abuse in Hong Kong Chinese families”, </w:t>
      </w:r>
      <w:r>
        <w:rPr>
          <w:rFonts w:asciiTheme="minorHAnsi" w:eastAsiaTheme="minorHAnsi" w:hAnsiTheme="minorHAnsi"/>
          <w:i/>
          <w:iCs/>
          <w:sz w:val="20"/>
        </w:rPr>
        <w:t>Journal of Interpersonal Violence</w:t>
      </w:r>
      <w:r>
        <w:rPr>
          <w:rFonts w:asciiTheme="minorHAnsi" w:eastAsiaTheme="minorHAnsi" w:hAnsiTheme="minorHAnsi"/>
          <w:sz w:val="20"/>
        </w:rPr>
        <w:t xml:space="preserve">, (epub ahead of print), 1-21, cited in UNICEF East Asia and Pacific Regional Office (2012), </w:t>
      </w:r>
      <w:r>
        <w:rPr>
          <w:rFonts w:asciiTheme="minorHAnsi" w:eastAsiaTheme="minorHAnsi" w:hAnsiTheme="minorHAnsi"/>
          <w:i/>
          <w:iCs/>
          <w:sz w:val="20"/>
        </w:rPr>
        <w:t>Child Maltreatment: Prevalence, Incidence and Consequences: A Systematic Review of Research</w:t>
      </w:r>
      <w:r>
        <w:rPr>
          <w:rFonts w:asciiTheme="minorHAnsi" w:eastAsiaTheme="minorHAnsi" w:hAnsiTheme="minorHAnsi"/>
          <w:sz w:val="20"/>
        </w:rPr>
        <w:t>, Bangkok: UNICEF)</w:t>
      </w:r>
    </w:p>
    <w:p w14:paraId="5E5E8047"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一項在中國、哥倫比亞、義大利、約旦、肯亞、菲律賓、瑞典、泰國和美國進行有關性別和身體懲罰關聯的研究，採訪了 4000 位母親、父親和 7 至 10 歲的兒童，發現 48% 的中國女孩和 60% 的中國男孩曾經受過「輕度」體罰（徒手拍、打或摑掌；打或摑手、手臂或腿；用物件搖或打），10% 的女孩和 15% 的男孩在過去一個月內經受過家裡人嚴厲的體罰（打或摑孩子的臉、頭或耳朵；以器具反覆擊打）。少數家長認為需要使用體罰來養育孩子：對女孩而言，14% 的母親和 20% 的父親，認為有必要；對女孩而言，36%的母親和 33% 的父親，認為有必要。</w:t>
      </w:r>
    </w:p>
    <w:p w14:paraId="6A6C11A3" w14:textId="77777777" w:rsidR="00BE5567" w:rsidRDefault="00672CCE">
      <w:pPr>
        <w:autoSpaceDE w:val="0"/>
        <w:autoSpaceDN w:val="0"/>
        <w:adjustRightInd w:val="0"/>
        <w:spacing w:after="240"/>
        <w:jc w:val="right"/>
        <w:rPr>
          <w:rFonts w:asciiTheme="minorHAnsi" w:eastAsiaTheme="minorHAnsi" w:hAnsiTheme="minorHAnsi"/>
          <w:iCs/>
          <w:sz w:val="20"/>
        </w:rPr>
      </w:pPr>
      <w:r>
        <w:rPr>
          <w:rFonts w:asciiTheme="minorHAnsi" w:eastAsiaTheme="minorHAnsi" w:hAnsiTheme="minorHAnsi"/>
          <w:sz w:val="20"/>
        </w:rPr>
        <w:t xml:space="preserve">(Lansford, J. et al (2010), “Corporal Punishment of Children in Nine Countries as a Function of Child Gender and Parent Gender”, </w:t>
      </w:r>
      <w:r>
        <w:rPr>
          <w:rFonts w:asciiTheme="minorHAnsi" w:eastAsiaTheme="minorHAnsi" w:hAnsiTheme="minorHAnsi"/>
          <w:i/>
          <w:iCs/>
          <w:sz w:val="20"/>
        </w:rPr>
        <w:t>International Journal of Pediatrics</w:t>
      </w:r>
      <w:r>
        <w:rPr>
          <w:rFonts w:asciiTheme="minorHAnsi" w:eastAsiaTheme="minorHAnsi" w:hAnsiTheme="minorHAnsi"/>
          <w:iCs/>
          <w:sz w:val="20"/>
        </w:rPr>
        <w:t>)</w:t>
      </w:r>
    </w:p>
    <w:p w14:paraId="4EED7EFE"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一項針對超過 2100 名小學 9 至 12 歲兒童的研究發現，73% 受過父母體罰，並且影響到身心失調症狀，例如頭痛和腹痛。</w:t>
      </w:r>
    </w:p>
    <w:p w14:paraId="082DBBE1" w14:textId="77777777" w:rsidR="00BE5567" w:rsidRDefault="00672CCE">
      <w:pPr>
        <w:autoSpaceDE w:val="0"/>
        <w:autoSpaceDN w:val="0"/>
        <w:adjustRightInd w:val="0"/>
        <w:spacing w:after="240"/>
        <w:jc w:val="right"/>
        <w:rPr>
          <w:rFonts w:asciiTheme="minorHAnsi" w:hAnsiTheme="minorHAnsi"/>
          <w:sz w:val="20"/>
        </w:rPr>
      </w:pPr>
      <w:r>
        <w:rPr>
          <w:rFonts w:asciiTheme="minorHAnsi" w:eastAsiaTheme="minorHAnsi" w:hAnsiTheme="minorHAnsi"/>
          <w:sz w:val="20"/>
        </w:rPr>
        <w:t xml:space="preserve">(Hesketh, T. et al (2010), “Stress and psychosomatic symptoms in Chinese school children: cross-sectional survey”, </w:t>
      </w:r>
      <w:r>
        <w:rPr>
          <w:rFonts w:asciiTheme="minorHAnsi" w:eastAsiaTheme="minorHAnsi" w:hAnsiTheme="minorHAnsi"/>
          <w:i/>
          <w:iCs/>
          <w:sz w:val="20"/>
        </w:rPr>
        <w:t>Archives of Disease in Childhood</w:t>
      </w:r>
      <w:r>
        <w:rPr>
          <w:rFonts w:asciiTheme="minorHAnsi" w:eastAsiaTheme="minorHAnsi" w:hAnsiTheme="minorHAnsi"/>
          <w:sz w:val="20"/>
        </w:rPr>
        <w:t>, 95(2), 136-140)</w:t>
      </w:r>
    </w:p>
    <w:p w14:paraId="5D8D65E7"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NGO Against Child Abuse 針對超過 100 名 6 至 15 歲兒童和 126 名家長所做的一項問卷調查中，58% 的父母承認在過去 12 個月內打過孩子耳光或抽打過孩子。超過半數 (47%) 受過身體懲罰的孩子說感到嚴重疼痛，三分之一說體罰損害到與父母的關係。</w:t>
      </w:r>
    </w:p>
    <w:p w14:paraId="148B2D7B" w14:textId="77777777"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(Reported in </w:t>
      </w:r>
      <w:r>
        <w:rPr>
          <w:rFonts w:asciiTheme="minorHAnsi" w:eastAsiaTheme="minorHAnsi" w:hAnsiTheme="minorHAnsi"/>
          <w:i/>
          <w:iCs/>
          <w:sz w:val="20"/>
        </w:rPr>
        <w:t>Earth Times</w:t>
      </w:r>
      <w:r>
        <w:rPr>
          <w:rFonts w:asciiTheme="minorHAnsi" w:eastAsiaTheme="minorHAnsi" w:hAnsiTheme="minorHAnsi"/>
          <w:sz w:val="20"/>
        </w:rPr>
        <w:t>, 4 May 2010)</w:t>
      </w:r>
    </w:p>
    <w:p w14:paraId="3A5C8400"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一項對 6592 位高中生做的研究中，23.2% 的人表示在過去六個月中有受過體罰。</w:t>
      </w:r>
    </w:p>
    <w:p w14:paraId="0A40D64F" w14:textId="77777777"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(Leung, P. W. S. et al (2008), “Prevalence and determinants of child maltreatment among high school students in Southern China: A large school based survey”, </w:t>
      </w:r>
      <w:r>
        <w:rPr>
          <w:rFonts w:asciiTheme="minorHAnsi" w:eastAsiaTheme="minorHAnsi" w:hAnsiTheme="minorHAnsi"/>
          <w:i/>
          <w:iCs/>
          <w:sz w:val="20"/>
        </w:rPr>
        <w:t>Child and Adolescent Psychiatry and Mental Health</w:t>
      </w:r>
      <w:r>
        <w:rPr>
          <w:rFonts w:asciiTheme="minorHAnsi" w:eastAsiaTheme="minorHAnsi" w:hAnsiTheme="minorHAnsi"/>
          <w:sz w:val="20"/>
        </w:rPr>
        <w:t xml:space="preserve">, 2(27), 1-8, cited in UNICEF East Asia and Pacific Regional Office (2012), </w:t>
      </w:r>
      <w:r>
        <w:rPr>
          <w:rFonts w:asciiTheme="minorHAnsi" w:eastAsiaTheme="minorHAnsi" w:hAnsiTheme="minorHAnsi"/>
          <w:i/>
          <w:iCs/>
          <w:sz w:val="20"/>
        </w:rPr>
        <w:t>Child Maltreatment: Prevalence, Incidence and Consequences: A Systematic Review of Research</w:t>
      </w:r>
      <w:r>
        <w:rPr>
          <w:rFonts w:asciiTheme="minorHAnsi" w:eastAsiaTheme="minorHAnsi" w:hAnsiTheme="minorHAnsi"/>
          <w:sz w:val="20"/>
        </w:rPr>
        <w:t>, Bangkok: UNICEF)</w:t>
      </w:r>
    </w:p>
    <w:p w14:paraId="746A5429" w14:textId="77777777" w:rsidR="00BE5567" w:rsidRDefault="00672CCE">
      <w:pPr>
        <w:autoSpaceDE w:val="0"/>
        <w:autoSpaceDN w:val="0"/>
        <w:adjustRightInd w:val="0"/>
        <w:spacing w:after="60"/>
        <w:rPr>
          <w:rFonts w:asciiTheme="minorHAnsi" w:eastAsiaTheme="minorHAnsi" w:hAnsiTheme="minorHAnsi"/>
        </w:rPr>
      </w:pPr>
      <w:r>
        <w:rPr>
          <w:rFonts w:asciiTheme="minorHAnsi" w:eastAsiaTheme="minorHAnsi" w:hAnsiTheme="minorHAnsi"/>
        </w:rPr>
        <w:t>一項對 810 位學齡前兒童家長所做的研究發現，33% 的人曾對孩子使用非接觸體罰。</w:t>
      </w:r>
    </w:p>
    <w:p w14:paraId="2E2BA354" w14:textId="77777777" w:rsidR="00BE5567" w:rsidRDefault="00672CCE">
      <w:pPr>
        <w:autoSpaceDE w:val="0"/>
        <w:autoSpaceDN w:val="0"/>
        <w:adjustRightInd w:val="0"/>
        <w:spacing w:after="240"/>
        <w:jc w:val="right"/>
        <w:rPr>
          <w:rFonts w:asciiTheme="minorHAnsi" w:eastAsiaTheme="minorHAnsi" w:hAnsiTheme="minorHAnsi"/>
          <w:sz w:val="20"/>
        </w:rPr>
      </w:pPr>
      <w:r>
        <w:rPr>
          <w:rFonts w:asciiTheme="minorHAnsi" w:eastAsiaTheme="minorHAnsi" w:hAnsiTheme="minorHAnsi"/>
          <w:sz w:val="20"/>
        </w:rPr>
        <w:t xml:space="preserve">(Wang, F. Y. et al (2007), “The Prevalence of Physical Maltreatment by Parents in 810 Kindergarten Children”, </w:t>
      </w:r>
      <w:r>
        <w:rPr>
          <w:rFonts w:asciiTheme="minorHAnsi" w:eastAsiaTheme="minorHAnsi" w:hAnsiTheme="minorHAnsi"/>
          <w:i/>
          <w:iCs/>
          <w:sz w:val="20"/>
        </w:rPr>
        <w:t xml:space="preserve">Chinese Journal of School Health, </w:t>
      </w:r>
      <w:r>
        <w:rPr>
          <w:rFonts w:asciiTheme="minorHAnsi" w:eastAsiaTheme="minorHAnsi" w:hAnsiTheme="minorHAnsi"/>
          <w:sz w:val="20"/>
        </w:rPr>
        <w:t xml:space="preserve">28(11), 987-990 [in Chinese], cited in UNICEF East Asia and Pacific Regional Office (2012), </w:t>
      </w:r>
      <w:r>
        <w:rPr>
          <w:rFonts w:asciiTheme="minorHAnsi" w:eastAsiaTheme="minorHAnsi" w:hAnsiTheme="minorHAnsi"/>
          <w:i/>
          <w:iCs/>
          <w:sz w:val="20"/>
        </w:rPr>
        <w:t>Child Maltreatment: Prevalence, Incidence and Consequences: A Systematic Review of Research</w:t>
      </w:r>
      <w:r>
        <w:rPr>
          <w:rFonts w:asciiTheme="minorHAnsi" w:eastAsiaTheme="minorHAnsi" w:hAnsiTheme="minorHAnsi"/>
          <w:sz w:val="20"/>
        </w:rPr>
        <w:t>, Bangkok: UNICEF)</w:t>
      </w:r>
    </w:p>
    <w:p w14:paraId="54008309" w14:textId="1074B016" w:rsidR="00BE5567" w:rsidRDefault="00BE5567">
      <w:pPr>
        <w:spacing w:after="60"/>
        <w:rPr>
          <w:rFonts w:asciiTheme="minorHAnsi" w:eastAsia="Calibri" w:hAnsiTheme="minorHAnsi" w:cstheme="minorHAnsi"/>
          <w:sz w:val="20"/>
        </w:rPr>
      </w:pPr>
    </w:p>
    <w:sectPr w:rsidR="00BE5567">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7211" w14:textId="77777777" w:rsidR="006776A9" w:rsidRDefault="006776A9">
      <w:r>
        <w:separator/>
      </w:r>
    </w:p>
    <w:p w14:paraId="2E19EC6A" w14:textId="77777777" w:rsidR="006776A9" w:rsidRDefault="006776A9"/>
  </w:endnote>
  <w:endnote w:type="continuationSeparator" w:id="0">
    <w:p w14:paraId="1FE69894" w14:textId="77777777" w:rsidR="006776A9" w:rsidRDefault="006776A9">
      <w:r>
        <w:continuationSeparator/>
      </w:r>
    </w:p>
    <w:p w14:paraId="6C782886" w14:textId="77777777" w:rsidR="006776A9" w:rsidRDefault="006776A9"/>
  </w:endnote>
  <w:endnote w:type="continuationNotice" w:id="1">
    <w:p w14:paraId="16218667" w14:textId="77777777" w:rsidR="006776A9" w:rsidRDefault="006776A9"/>
    <w:p w14:paraId="1F2DD2EB" w14:textId="77777777" w:rsidR="006776A9" w:rsidRDefault="0067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5BE0584" w:rsidR="00BE5567" w:rsidRDefault="00672CCE">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046AA">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BE5567" w:rsidRDefault="00BE55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6FA64" w14:textId="77777777" w:rsidR="006776A9" w:rsidRDefault="006776A9">
      <w:r>
        <w:separator/>
      </w:r>
    </w:p>
    <w:p w14:paraId="73D0804D" w14:textId="77777777" w:rsidR="006776A9" w:rsidRDefault="006776A9"/>
  </w:footnote>
  <w:footnote w:type="continuationSeparator" w:id="0">
    <w:p w14:paraId="759147F3" w14:textId="77777777" w:rsidR="006776A9" w:rsidRDefault="006776A9">
      <w:r>
        <w:continuationSeparator/>
      </w:r>
    </w:p>
    <w:p w14:paraId="6182304F" w14:textId="77777777" w:rsidR="006776A9" w:rsidRDefault="006776A9"/>
  </w:footnote>
  <w:footnote w:type="continuationNotice" w:id="1">
    <w:p w14:paraId="1B5C8EBC" w14:textId="77777777" w:rsidR="006776A9" w:rsidRDefault="006776A9"/>
    <w:p w14:paraId="48DC94CB" w14:textId="77777777" w:rsidR="006776A9" w:rsidRDefault="006776A9"/>
  </w:footnote>
  <w:footnote w:id="2">
    <w:p w14:paraId="4D15A1AB"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[2013], CRC/C/CHN/Q/3-4/Add.1 Unedited Version, Reply to list of issues, Q15 </w:t>
      </w:r>
    </w:p>
  </w:footnote>
  <w:footnote w:id="3">
    <w:p w14:paraId="51E7F1F0"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rPr>
        <w:t>南華早報</w:t>
      </w:r>
      <w:r>
        <w:rPr>
          <w:rFonts w:asciiTheme="minorHAnsi" w:hAnsiTheme="minorHAnsi" w:cstheme="minorHAnsi"/>
        </w:rPr>
        <w:t>報導，2014 年 1 月 21 日</w:t>
      </w:r>
    </w:p>
  </w:footnote>
  <w:footnote w:id="4">
    <w:p w14:paraId="2C570B26"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Congressional-Executive Commission on China, Press release, 26 July 2006</w:t>
      </w:r>
    </w:p>
  </w:footnote>
  <w:footnote w:id="5">
    <w:p w14:paraId="22537152"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April 2014, CAT/C/CHN/5, Fifth state party report, para. 42; see also </w:t>
      </w:r>
      <w:hyperlink r:id="rId1" w:history="1">
        <w:r>
          <w:rPr>
            <w:rStyle w:val="Hyperlink"/>
            <w:rFonts w:asciiTheme="minorHAnsi" w:hAnsiTheme="minorHAnsi" w:cstheme="minorHAnsi"/>
            <w:color w:val="auto"/>
          </w:rPr>
          <w:t>http://english.gov.cn/official/2010-09/26/content_1709982_4.htm</w:t>
        </w:r>
      </w:hyperlink>
      <w:r>
        <w:rPr>
          <w:rFonts w:asciiTheme="minorHAnsi" w:hAnsiTheme="minorHAnsi" w:cstheme="minorHAnsi"/>
        </w:rPr>
        <w:t>, accessed 5 August 2014</w:t>
      </w:r>
    </w:p>
  </w:footnote>
  <w:footnote w:id="6">
    <w:p w14:paraId="762F1953"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April 2014, CAT/C/CHN/5, Fifth state party report, para. 17</w:t>
      </w:r>
    </w:p>
  </w:footnote>
  <w:footnote w:id="7">
    <w:p w14:paraId="52DA6150"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April 2014, CAT/C/CHN/5, Fifth state party report, para. 10</w:t>
      </w:r>
    </w:p>
  </w:footnote>
  <w:footnote w:id="8">
    <w:p w14:paraId="7F2A7C2A" w14:textId="77777777" w:rsidR="00BE5567" w:rsidRDefault="00672CC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5 October 2009, A/HRC/11/25, Report of the working group, paras. 114(2), 114(3) and 114(13)</w:t>
      </w:r>
    </w:p>
  </w:footnote>
  <w:footnote w:id="9">
    <w:p w14:paraId="1BEA44F5" w14:textId="77777777" w:rsidR="00BE5567" w:rsidRDefault="00672CCE">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4 December 2013, A/HRC/25/5, Report of the working group, paras. 186(54), 186(64), 186(77) and 186(80)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047"/>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46AA"/>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0EBB"/>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2CCE"/>
    <w:rsid w:val="00674645"/>
    <w:rsid w:val="006776A9"/>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20FC"/>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CB9"/>
    <w:rsid w:val="00BA4ED3"/>
    <w:rsid w:val="00BB7DC3"/>
    <w:rsid w:val="00BC5176"/>
    <w:rsid w:val="00BE1697"/>
    <w:rsid w:val="00BE175D"/>
    <w:rsid w:val="00BE5567"/>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2300"/>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zh-CN"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glish.gov.cn/official/2010-09/26/content_1709982_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26AA-0692-4098-A0B1-B2CEAC3A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6A28C7F-2A52-4C05-9536-21D53638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2019-11-13T11:53:00Z</dcterms:created>
  <dcterms:modified xsi:type="dcterms:W3CDTF">2019-11-13T11:53:00Z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