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AD2B12" w14:paraId="444161C0" w14:textId="77777777">
        <w:tc>
          <w:tcPr>
            <w:tcW w:w="10138" w:type="dxa"/>
            <w:gridSpan w:val="2"/>
          </w:tcPr>
          <w:p w14:paraId="1A30267E" w14:textId="5AB6147A" w:rsidR="00AD2B12" w:rsidRDefault="006D73CF">
            <w:pPr>
              <w:spacing w:before="120" w:after="240"/>
              <w:rPr>
                <w:rFonts w:ascii="Amaranth" w:hAnsi="Amaranth" w:cstheme="minorHAnsi"/>
                <w:b/>
                <w:noProof/>
                <w:color w:val="1E3250"/>
                <w:sz w:val="48"/>
              </w:rPr>
            </w:pPr>
            <w:bookmarkStart w:id="0" w:name="_GoBack"/>
            <w:bookmarkEnd w:id="0"/>
            <w:r>
              <w:rPr>
                <w:rFonts w:ascii="Amaranth" w:hAnsi="Amaranth" w:cstheme="minorHAnsi"/>
                <w:b/>
                <w:color w:val="1E3250"/>
                <w:sz w:val="50"/>
              </w:rPr>
              <w:t>香港兒童體罰問題</w:t>
            </w:r>
          </w:p>
        </w:tc>
      </w:tr>
      <w:tr w:rsidR="00AD2B12" w14:paraId="63C617FD" w14:textId="77777777">
        <w:tc>
          <w:tcPr>
            <w:tcW w:w="5211" w:type="dxa"/>
          </w:tcPr>
          <w:p w14:paraId="161E86DF" w14:textId="56EFBDD8" w:rsidR="00AD2B12" w:rsidRDefault="006D73CF">
            <w:pPr>
              <w:spacing w:before="240"/>
              <w:rPr>
                <w:rFonts w:ascii="Amaranth" w:hAnsi="Amaranth" w:cstheme="minorHAnsi"/>
              </w:rPr>
            </w:pPr>
            <w:bookmarkStart w:id="1" w:name="_Toc197483692"/>
            <w:r>
              <w:rPr>
                <w:rFonts w:ascii="Amaranth" w:hAnsi="Amaranth" w:cstheme="minorHAnsi"/>
              </w:rPr>
              <w:t>2017 年 7 月最後更新</w:t>
            </w:r>
          </w:p>
          <w:p w14:paraId="0EEC5A5A" w14:textId="6CFCA4D0" w:rsidR="00AD2B12" w:rsidRDefault="006D73CF">
            <w:pPr>
              <w:rPr>
                <w:rFonts w:ascii="Amaranth" w:hAnsi="Amaranth" w:cstheme="minorHAnsi"/>
                <w:color w:val="0096A3"/>
              </w:rPr>
            </w:pPr>
            <w:r>
              <w:rPr>
                <w:rFonts w:ascii="Amaranth" w:hAnsi="Amaranth" w:cstheme="minorHAnsi"/>
              </w:rPr>
              <w:t>可供在線查閲</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38DED134" w:rsidR="00AD2B12" w:rsidRDefault="006D73CF">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兒童人口 (0-19) </w:t>
            </w:r>
            <w:r>
              <w:rPr>
                <w:rFonts w:ascii="Amaranth" w:hAnsi="Amaranth" w:cstheme="minorHAnsi"/>
              </w:rPr>
              <w:t>1,167,600 (香港政府，2016)</w:t>
            </w:r>
          </w:p>
        </w:tc>
        <w:tc>
          <w:tcPr>
            <w:tcW w:w="4927" w:type="dxa"/>
          </w:tcPr>
          <w:p w14:paraId="35B1097F" w14:textId="5BCAC162" w:rsidR="00AD2B12" w:rsidRDefault="006D73CF">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AD2B12" w:rsidRDefault="00AD2B1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AD2B12" w:rsidRDefault="00AD2B1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77777777" w:rsidR="00AD2B12" w:rsidRDefault="006D73CF">
      <w:pPr>
        <w:pStyle w:val="Heading1"/>
        <w:pBdr>
          <w:top w:val="single" w:sz="24" w:space="14" w:color="0096A3"/>
          <w:left w:val="single" w:sz="24" w:space="10" w:color="0096A3"/>
          <w:bottom w:val="single" w:sz="24" w:space="14" w:color="0096A3"/>
          <w:right w:val="single" w:sz="24" w:space="10" w:color="0096A3"/>
        </w:pBdr>
        <w:rPr>
          <w:color w:val="1E3250"/>
        </w:rPr>
      </w:pPr>
      <w:r>
        <w:rPr>
          <w:color w:val="1E3250"/>
        </w:rPr>
        <w:t>為實現全面禁止體罰之必要的法律改革摘要</w:t>
      </w:r>
    </w:p>
    <w:p w14:paraId="422C0F56" w14:textId="77777777" w:rsidR="00AD2B12" w:rsidRDefault="006D73C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在家中、其他照護場所和日托場所中尚未實現禁止體罰。</w:t>
      </w:r>
    </w:p>
    <w:p w14:paraId="2F552C56" w14:textId="77777777" w:rsidR="00AD2B12" w:rsidRDefault="006D73C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英國普通法辯解為「合理懲罰」適用於此。基於在育兒中施行體罰近乎為共識，必須撤銷這個辯解，使得法律明確規定，體罰不分輕重或類型，皆為不可接受的，為非法的。不管程度輕重，禁止對兒童體罰之效力應適用與對兒童的有監護權者。</w:t>
      </w:r>
    </w:p>
    <w:p w14:paraId="7192ADC4" w14:textId="77777777" w:rsidR="00AD2B12" w:rsidRDefault="006D73C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其他照護場所</w:t>
      </w:r>
      <w:r>
        <w:rPr>
          <w:rFonts w:asciiTheme="minorHAnsi" w:hAnsiTheme="minorHAnsi"/>
        </w:rPr>
        <w:t xml:space="preserve"> － 禁令應適用於所有其他照護場所 (學校、寄養機構、緊急照護、安全場所等)。</w:t>
      </w:r>
    </w:p>
    <w:p w14:paraId="52D959C9" w14:textId="180B8953" w:rsidR="00AD2B12" w:rsidRDefault="006D73CF">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日托</w:t>
      </w:r>
      <w:r>
        <w:rPr>
          <w:rFonts w:asciiTheme="minorHAnsi" w:hAnsiTheme="minorHAnsi"/>
        </w:rPr>
        <w:t xml:space="preserve"> －所有幼兒照護和對較年長兒童的所有全日日托場所 (包括課後兒童照護、兒童托管等) 中都應禁止體罰。</w:t>
      </w:r>
    </w:p>
    <w:p w14:paraId="53EDA8B0" w14:textId="463257B5" w:rsidR="00AD2B12" w:rsidRDefault="00AD2B1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AD2B12" w:rsidRDefault="00AD2B12">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1"/>
    <w:p w14:paraId="21C620E3" w14:textId="0E3BEA30" w:rsidR="00AD2B12" w:rsidRDefault="006D73CF">
      <w:pPr>
        <w:jc w:val="center"/>
      </w:pPr>
      <w:r>
        <w:br w:type="page"/>
      </w:r>
    </w:p>
    <w:p w14:paraId="5AD13CDF" w14:textId="7396359E" w:rsidR="00AD2B12" w:rsidRDefault="006D73CF">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r>
        <w:rPr>
          <w:rFonts w:asciiTheme="minorHAnsi" w:hAnsiTheme="minorHAnsi" w:cstheme="minorHAnsi"/>
          <w:b/>
        </w:rPr>
        <w:lastRenderedPageBreak/>
        <w:t>註：</w:t>
      </w:r>
      <w:r>
        <w:rPr>
          <w:rFonts w:asciiTheme="minorHAnsi" w:hAnsiTheme="minorHAnsi" w:cstheme="minorHAnsi"/>
        </w:rPr>
        <w:t xml:space="preserve"> 香港是中國的一個特別行政區。</w:t>
      </w:r>
    </w:p>
    <w:p w14:paraId="4C175867" w14:textId="77777777" w:rsidR="00AD2B12" w:rsidRDefault="00AD2B12"/>
    <w:p w14:paraId="7A722C28" w14:textId="6C09B951" w:rsidR="00AD2B12" w:rsidRDefault="006D73CF">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rPr>
      </w:pPr>
      <w:r>
        <w:rPr>
          <w:rFonts w:ascii="Amaranth" w:hAnsi="Amaranth" w:cstheme="minorHAnsi"/>
          <w:b/>
          <w:sz w:val="28"/>
        </w:rPr>
        <w:t>目前體罰的合法性</w:t>
      </w:r>
    </w:p>
    <w:p w14:paraId="7A722C29" w14:textId="6DB5BC53" w:rsidR="00AD2B12" w:rsidRDefault="006D73CF">
      <w:pPr>
        <w:pStyle w:val="Heading3"/>
        <w:spacing w:before="0" w:after="120"/>
        <w:rPr>
          <w:rFonts w:ascii="Amaranth" w:hAnsi="Amaranth" w:cstheme="minorHAnsi"/>
          <w:sz w:val="24"/>
        </w:rPr>
      </w:pPr>
      <w:r>
        <w:rPr>
          <w:rFonts w:ascii="Amaranth" w:hAnsi="Amaranth" w:cstheme="minorHAnsi"/>
          <w:sz w:val="24"/>
        </w:rPr>
        <w:t>首頁</w:t>
      </w:r>
    </w:p>
    <w:p w14:paraId="0C3AF476" w14:textId="77777777" w:rsidR="00AD2B12" w:rsidRDefault="006D73CF">
      <w:pPr>
        <w:spacing w:after="120"/>
        <w:rPr>
          <w:rFonts w:asciiTheme="minorHAnsi" w:hAnsiTheme="minorHAnsi" w:cstheme="minorHAnsi"/>
        </w:rPr>
      </w:pPr>
      <w:r>
        <w:rPr>
          <w:rFonts w:asciiTheme="minorHAnsi" w:hAnsiTheme="minorHAnsi" w:cstheme="minorHAnsi"/>
        </w:rPr>
        <w:t>體罰在家中是合法的。根據 2010 年對聯合國委員會的兒童權利報告中，政府聲明，儘管無明確禁令禁止父母施行體罰，法律不允許在育兒過程中施行暴力，施行體罰者，包括普通侵害，將會依據《侵害人身罪條例》治罪。</w:t>
      </w:r>
      <w:r>
        <w:rPr>
          <w:rStyle w:val="FootnoteReference"/>
          <w:rFonts w:asciiTheme="minorHAnsi" w:hAnsiTheme="minorHAnsi" w:cstheme="minorHAnsi"/>
        </w:rPr>
        <w:footnoteReference w:id="2"/>
      </w:r>
      <w:r>
        <w:rPr>
          <w:rFonts w:asciiTheme="minorHAnsi" w:hAnsiTheme="minorHAnsi" w:cstheme="minorHAnsi"/>
        </w:rPr>
        <w:t xml:space="preserve"> 然而，事實上，根據 1997 年中華人民共和國香港特別行政區基本法第 8 條規定，之前生效的普通法繼續有效，這將包括英國普通法中「合理懲罰」的辯解；香港法律改革委員會證實，在普通法中香港父母有「施行適當懲罰」的權利。</w:t>
      </w:r>
      <w:r>
        <w:rPr>
          <w:rStyle w:val="FootnoteReference"/>
          <w:rFonts w:asciiTheme="minorHAnsi" w:hAnsiTheme="minorHAnsi" w:cstheme="minorHAnsi"/>
        </w:rPr>
        <w:footnoteReference w:id="3"/>
      </w:r>
      <w:r>
        <w:rPr>
          <w:rFonts w:asciiTheme="minorHAnsi" w:hAnsiTheme="minorHAnsi" w:cstheme="minorHAnsi"/>
        </w:rPr>
        <w:t xml:space="preserve"> 在《1951 年保護兒童和青少年條例防止暴力和虐待法案》、《2009 年家庭和同居關係暴力法案》、《1950 年侵害人身罪法案》、《1971 年犯罪法案》和《1951 年保護兒童和青少年法案》中，未對育兒中的體罰做出禁止的解釋。</w:t>
      </w:r>
    </w:p>
    <w:p w14:paraId="4CC10CDC" w14:textId="77777777" w:rsidR="00AD2B12" w:rsidRDefault="006D73CF">
      <w:pPr>
        <w:spacing w:after="120"/>
        <w:rPr>
          <w:rFonts w:asciiTheme="minorHAnsi" w:hAnsiTheme="minorHAnsi" w:cstheme="minorHAnsi"/>
        </w:rPr>
      </w:pPr>
      <w:r>
        <w:rPr>
          <w:rFonts w:asciiTheme="minorHAnsi" w:hAnsiTheme="minorHAnsi" w:cstheme="minorHAnsi"/>
        </w:rPr>
        <w:t>政府向人權委員會表示，「我們不認爲在此階段立法，是處理香港「體罰」問題的最有效手段。」</w:t>
      </w:r>
      <w:r>
        <w:rPr>
          <w:rStyle w:val="FootnoteReference"/>
          <w:rFonts w:asciiTheme="minorHAnsi" w:hAnsiTheme="minorHAnsi" w:cstheme="minorHAnsi"/>
        </w:rPr>
        <w:footnoteReference w:id="4"/>
      </w:r>
    </w:p>
    <w:p w14:paraId="7A722C2D" w14:textId="77777777" w:rsidR="00AD2B12" w:rsidRDefault="00AD2B12">
      <w:pPr>
        <w:spacing w:after="120"/>
        <w:rPr>
          <w:rFonts w:asciiTheme="minorHAnsi" w:hAnsiTheme="minorHAnsi" w:cstheme="minorHAnsi"/>
          <w:b/>
        </w:rPr>
      </w:pPr>
    </w:p>
    <w:p w14:paraId="1084E424" w14:textId="594D7C6F" w:rsidR="00AD2B12" w:rsidRDefault="006D73CF">
      <w:pPr>
        <w:pStyle w:val="Heading3"/>
        <w:spacing w:before="0" w:after="120"/>
        <w:rPr>
          <w:rFonts w:ascii="Amaranth" w:hAnsi="Amaranth" w:cstheme="minorHAnsi"/>
          <w:b w:val="0"/>
          <w:sz w:val="24"/>
        </w:rPr>
      </w:pPr>
      <w:r>
        <w:rPr>
          <w:rFonts w:ascii="Amaranth" w:hAnsi="Amaranth" w:cstheme="minorHAnsi"/>
          <w:sz w:val="24"/>
        </w:rPr>
        <w:t>其他照護場所</w:t>
      </w:r>
    </w:p>
    <w:p w14:paraId="0BCB2870" w14:textId="77777777" w:rsidR="00AD2B12" w:rsidRDefault="006D73CF">
      <w:pPr>
        <w:spacing w:after="120"/>
        <w:rPr>
          <w:rFonts w:asciiTheme="minorHAnsi" w:hAnsiTheme="minorHAnsi" w:cstheme="minorHAnsi"/>
        </w:rPr>
      </w:pPr>
      <w:r>
        <w:rPr>
          <w:rFonts w:asciiTheme="minorHAnsi" w:hAnsiTheme="minorHAnsi" w:cstheme="minorHAnsi"/>
        </w:rPr>
        <w:t>父母在其他照護場所中施行體罰為合法行爲 (參閱「家庭」)。《保護兒童青少年法案》，關於監護、看護和管理需要照顧和保護的兒童，授權少年法庭，並聲明「任何照顧兒童或青少年的個人或學校，在此先行法律條例下，作爲父母，有權管制兒童或青少年」(s34(4))。《1993年保護兒童和青少年 (難民庇護地) 法規》，授權福利總監批准非全面公衆資助的難民庇護地制定條例，並聲明，此權力「不被視為批準制定或通過對任何人施行任何懲罰、約束或矯正行爲定的權力，父母能合法的懲罰、約束或矯正兒童，此類處罰行爲為例外」(Reg. 7)。</w:t>
      </w:r>
    </w:p>
    <w:p w14:paraId="0CAB997A" w14:textId="77777777" w:rsidR="00AD2B12" w:rsidRDefault="00AD2B12">
      <w:pPr>
        <w:spacing w:after="120"/>
        <w:rPr>
          <w:rFonts w:asciiTheme="minorHAnsi" w:hAnsiTheme="minorHAnsi" w:cstheme="minorHAnsi"/>
        </w:rPr>
      </w:pPr>
    </w:p>
    <w:p w14:paraId="56E90498" w14:textId="3030DCF6" w:rsidR="00AD2B12" w:rsidRDefault="006D73CF">
      <w:pPr>
        <w:pStyle w:val="Heading3"/>
        <w:spacing w:before="0" w:after="120"/>
        <w:rPr>
          <w:rFonts w:ascii="Amaranth" w:hAnsi="Amaranth" w:cstheme="minorHAnsi"/>
          <w:b w:val="0"/>
          <w:sz w:val="24"/>
        </w:rPr>
      </w:pPr>
      <w:r>
        <w:rPr>
          <w:rFonts w:ascii="Amaranth" w:hAnsi="Amaranth" w:cstheme="minorHAnsi"/>
          <w:sz w:val="24"/>
        </w:rPr>
        <w:t>日托</w:t>
      </w:r>
    </w:p>
    <w:p w14:paraId="09A0D7BC" w14:textId="77777777" w:rsidR="00AD2B12" w:rsidRDefault="006D73CF">
      <w:pPr>
        <w:spacing w:after="120"/>
        <w:rPr>
          <w:rFonts w:asciiTheme="minorHAnsi" w:hAnsiTheme="minorHAnsi" w:cstheme="minorHAnsi"/>
        </w:rPr>
      </w:pPr>
      <w:r>
        <w:rPr>
          <w:rFonts w:asciiTheme="minorHAnsi" w:hAnsiTheme="minorHAnsi" w:cstheme="minorHAnsi"/>
        </w:rPr>
        <w:t>《1976 年育兒服務規定 (2000 年修正版)》明確禁止在兒童照護中心施行體罰，第 15 條規定指出：「任何人皆不得在中心對兒童施行體罰。」 針對共同協助兒童照護中心，45R 規定重申體罰</w:t>
      </w:r>
      <w:r>
        <w:rPr>
          <w:rFonts w:asciiTheme="minorHAnsi" w:hAnsiTheme="minorHAnsi" w:cstheme="minorHAnsi"/>
        </w:rPr>
        <w:lastRenderedPageBreak/>
        <w:t>禁令。根據《1971 年教育法》規定 (參閱「學校」) (信息未被證實)，可能在學前環境中實行體罰禁令。父母在其他幼兒照護及對較年長兒童的日托場所中施行體罰為合法行爲 (參閱「家庭」)。</w:t>
      </w:r>
    </w:p>
    <w:p w14:paraId="16B9FB63" w14:textId="77777777" w:rsidR="00AD2B12" w:rsidRDefault="00AD2B12">
      <w:pPr>
        <w:spacing w:after="120"/>
        <w:rPr>
          <w:rFonts w:asciiTheme="minorHAnsi" w:hAnsiTheme="minorHAnsi" w:cstheme="minorHAnsi"/>
        </w:rPr>
      </w:pPr>
    </w:p>
    <w:p w14:paraId="7A722C2E" w14:textId="77777777" w:rsidR="00AD2B12" w:rsidRDefault="006D73CF">
      <w:pPr>
        <w:pStyle w:val="Heading3"/>
        <w:spacing w:before="0" w:after="120"/>
        <w:rPr>
          <w:rFonts w:ascii="Amaranth" w:hAnsi="Amaranth" w:cstheme="minorHAnsi"/>
          <w:b w:val="0"/>
          <w:sz w:val="24"/>
        </w:rPr>
      </w:pPr>
      <w:r>
        <w:rPr>
          <w:rFonts w:ascii="Amaranth" w:hAnsi="Amaranth" w:cstheme="minorHAnsi"/>
          <w:sz w:val="24"/>
        </w:rPr>
        <w:t>學校</w:t>
      </w:r>
    </w:p>
    <w:p w14:paraId="5F757CE5" w14:textId="77777777" w:rsidR="00AD2B12" w:rsidRDefault="006D73CF">
      <w:pPr>
        <w:pStyle w:val="BodyText1"/>
        <w:spacing w:after="120"/>
        <w:rPr>
          <w:rFonts w:asciiTheme="minorHAnsi" w:hAnsiTheme="minorHAnsi" w:cstheme="minorHAnsi"/>
        </w:rPr>
      </w:pPr>
      <w:r>
        <w:rPr>
          <w:rFonts w:asciiTheme="minorHAnsi" w:hAnsiTheme="minorHAnsi" w:cstheme="minorHAnsi"/>
        </w:rPr>
        <w:t>《1971 年教育法 (1991 年修正版)》在 58 條規定中明確指出禁止施行體罰：「任何教師皆不得對學生施行體罰。」</w:t>
      </w:r>
    </w:p>
    <w:p w14:paraId="7A722C30" w14:textId="77777777" w:rsidR="00AD2B12" w:rsidRDefault="00AD2B12">
      <w:pPr>
        <w:spacing w:after="120"/>
        <w:rPr>
          <w:rFonts w:asciiTheme="minorHAnsi" w:hAnsiTheme="minorHAnsi" w:cstheme="minorHAnsi"/>
        </w:rPr>
      </w:pPr>
    </w:p>
    <w:p w14:paraId="7A722C31" w14:textId="62D88AAA" w:rsidR="00AD2B12" w:rsidRDefault="006D73CF">
      <w:pPr>
        <w:pStyle w:val="Heading3"/>
        <w:spacing w:before="0" w:after="120"/>
        <w:rPr>
          <w:rFonts w:ascii="Amaranth" w:hAnsi="Amaranth" w:cstheme="minorHAnsi"/>
          <w:b w:val="0"/>
          <w:sz w:val="24"/>
        </w:rPr>
      </w:pPr>
      <w:r>
        <w:rPr>
          <w:rFonts w:ascii="Amaranth" w:hAnsi="Amaranth" w:cstheme="minorHAnsi"/>
          <w:sz w:val="24"/>
        </w:rPr>
        <w:t>刑事機構</w:t>
      </w:r>
    </w:p>
    <w:p w14:paraId="48612759" w14:textId="77777777" w:rsidR="00AD2B12" w:rsidRDefault="006D73CF">
      <w:pPr>
        <w:pStyle w:val="BodyText1"/>
        <w:spacing w:after="120"/>
        <w:rPr>
          <w:rFonts w:asciiTheme="minorHAnsi" w:hAnsiTheme="minorHAnsi" w:cstheme="minorHAnsi"/>
        </w:rPr>
      </w:pPr>
      <w:r>
        <w:rPr>
          <w:rFonts w:asciiTheme="minorHAnsi" w:hAnsiTheme="minorHAnsi" w:cstheme="minorHAnsi"/>
        </w:rPr>
        <w:t>作為刑事機構的紀律措施，體罰被視為非法。在《1954 年監獄法則》、《1959 年輔育院法則》、《1955 年拘留所法則》、《2001 年康復中心規定》和《1972 年拘留中心規定》中，體罰未列入許可的紀律措施。《1997 年罪犯假釋條例》第 37 條例明確禁止在核准院舍中施行體罰：「(2)(a) 在核准院舍中禁止對假釋犯施行任何形式的體罰；(b) 就本條例而言，「體罰」包括打擊、上手銬，或搖晃，或做出任何形式意圖引起身體痛楚之懲罰方式。」</w:t>
      </w:r>
    </w:p>
    <w:p w14:paraId="3A0D5D70" w14:textId="4748E71E" w:rsidR="00AD2B12" w:rsidRDefault="00AD2B12">
      <w:pPr>
        <w:spacing w:after="120"/>
        <w:rPr>
          <w:rFonts w:asciiTheme="minorHAnsi" w:hAnsiTheme="minorHAnsi" w:cstheme="minorHAnsi"/>
        </w:rPr>
      </w:pPr>
    </w:p>
    <w:p w14:paraId="2504E16D" w14:textId="79448A55" w:rsidR="00AD2B12" w:rsidRDefault="006D73CF">
      <w:pPr>
        <w:pStyle w:val="Heading3"/>
        <w:spacing w:before="0" w:after="120"/>
        <w:rPr>
          <w:rFonts w:ascii="Amaranth" w:hAnsi="Amaranth" w:cstheme="minorHAnsi"/>
          <w:sz w:val="24"/>
        </w:rPr>
      </w:pPr>
      <w:r>
        <w:rPr>
          <w:rFonts w:ascii="Amaranth" w:hAnsi="Amaranth" w:cstheme="minorHAnsi"/>
          <w:sz w:val="24"/>
        </w:rPr>
        <w:t>罪行判刑</w:t>
      </w:r>
    </w:p>
    <w:p w14:paraId="17B497ED" w14:textId="77777777" w:rsidR="00AD2B12" w:rsidRDefault="006D73CF">
      <w:pPr>
        <w:pStyle w:val="BodyText1"/>
        <w:spacing w:after="120"/>
        <w:rPr>
          <w:rFonts w:asciiTheme="minorHAnsi" w:hAnsiTheme="minorHAnsi" w:cstheme="minorHAnsi"/>
        </w:rPr>
      </w:pPr>
      <w:r>
        <w:rPr>
          <w:rFonts w:asciiTheme="minorHAnsi" w:hAnsiTheme="minorHAnsi" w:cstheme="minorHAnsi"/>
        </w:rPr>
        <w:t>體罰作為犯罪的刑罰是非法的。《1950 年少年犯法案》、《1933 年治安法案》、《1899 年刑事訴訟法》和《刑法》中無有關條例。《1991 年權利法案》提到，無人須遭受折磨，或嚴酷的、非人的、有辱人格的待遇或懲罰 (s8, art. 3)。《體罰法案》在 1990 年被廢止。</w:t>
      </w:r>
    </w:p>
    <w:p w14:paraId="2396A7DC" w14:textId="77777777" w:rsidR="00AD2B12" w:rsidRDefault="00AD2B12">
      <w:pPr>
        <w:spacing w:after="120"/>
        <w:rPr>
          <w:rFonts w:asciiTheme="minorHAnsi" w:hAnsiTheme="minorHAnsi" w:cstheme="minorHAnsi"/>
        </w:rPr>
      </w:pPr>
    </w:p>
    <w:p w14:paraId="05F1357F" w14:textId="5B0AA1B4" w:rsidR="00AD2B12" w:rsidRDefault="006D73CF">
      <w:pPr>
        <w:pStyle w:val="Heading2"/>
        <w:spacing w:after="120"/>
        <w:rPr>
          <w:rFonts w:ascii="Amaranth" w:eastAsia="Calibri" w:hAnsi="Amaranth" w:cstheme="minorHAnsi"/>
          <w:sz w:val="28"/>
        </w:rPr>
      </w:pPr>
      <w:r>
        <w:rPr>
          <w:rFonts w:ascii="Amaranth" w:eastAsia="Calibri" w:hAnsi="Amaranth" w:cstheme="minorHAnsi"/>
          <w:sz w:val="28"/>
        </w:rPr>
        <w:t>中國人權記錄的「普遍定期審議」</w:t>
      </w:r>
    </w:p>
    <w:p w14:paraId="514F4A0E" w14:textId="77777777" w:rsidR="00AD2B12" w:rsidRDefault="006D73CF">
      <w:pPr>
        <w:spacing w:after="120"/>
        <w:rPr>
          <w:rFonts w:asciiTheme="minorHAnsi" w:hAnsiTheme="minorHAnsi" w:cstheme="minorHAnsi"/>
        </w:rPr>
      </w:pPr>
      <w:r>
        <w:rPr>
          <w:rFonts w:asciiTheme="minorHAnsi" w:hAnsiTheme="minorHAnsi" w:cstheme="minorHAnsi"/>
        </w:rPr>
        <w:t>中國在 2009 年經歷了「普遍定期審議」(第 4 屆) 的第一循環審查。沒有特別對於體罰兒童做出的建議。然而，下列建議經提出，並得到政府接受：</w:t>
      </w:r>
      <w:r>
        <w:rPr>
          <w:rStyle w:val="FootnoteReference"/>
          <w:rFonts w:asciiTheme="minorHAnsi" w:hAnsiTheme="minorHAnsi" w:cstheme="minorHAnsi"/>
        </w:rPr>
        <w:footnoteReference w:id="5"/>
      </w:r>
    </w:p>
    <w:p w14:paraId="69D8D30D" w14:textId="77777777" w:rsidR="00AD2B12" w:rsidRDefault="006D73CF">
      <w:pPr>
        <w:spacing w:after="120"/>
        <w:ind w:left="720"/>
        <w:rPr>
          <w:rFonts w:asciiTheme="minorHAnsi" w:hAnsiTheme="minorHAnsi" w:cstheme="minorHAnsi"/>
        </w:rPr>
      </w:pPr>
      <w:r>
        <w:rPr>
          <w:rFonts w:asciiTheme="minorHAnsi" w:hAnsiTheme="minorHAnsi" w:cstheme="minorHAnsi"/>
        </w:rPr>
        <w:t>「繼續努力：倡導人權 (歐曼)；在法律司法改革、經濟發展和其他領域，宣傳和諧社會、民主、法律管制和人權 (越南)；</w:t>
      </w:r>
    </w:p>
    <w:p w14:paraId="3E257D01" w14:textId="77777777" w:rsidR="00AD2B12" w:rsidRDefault="006D73CF">
      <w:pPr>
        <w:spacing w:after="120"/>
        <w:ind w:left="720"/>
        <w:rPr>
          <w:rFonts w:asciiTheme="minorHAnsi" w:hAnsiTheme="minorHAnsi" w:cstheme="minorHAnsi"/>
        </w:rPr>
      </w:pPr>
      <w:r>
        <w:rPr>
          <w:rFonts w:asciiTheme="minorHAnsi" w:hAnsiTheme="minorHAnsi" w:cstheme="minorHAnsi"/>
        </w:rPr>
        <w:lastRenderedPageBreak/>
        <w:t>「通過享受經濟、社會和文化權利，依照國際標準，繼續提高人民的生活質量 (尼加拉瓜)；</w:t>
      </w:r>
    </w:p>
    <w:p w14:paraId="3F395CB1" w14:textId="77777777" w:rsidR="00AD2B12" w:rsidRDefault="006D73CF">
      <w:pPr>
        <w:spacing w:after="120"/>
        <w:ind w:left="720"/>
        <w:rPr>
          <w:rFonts w:asciiTheme="minorHAnsi" w:hAnsiTheme="minorHAnsi" w:cstheme="minorHAnsi"/>
        </w:rPr>
      </w:pPr>
      <w:r>
        <w:rPr>
          <w:rFonts w:asciiTheme="minorHAnsi" w:hAnsiTheme="minorHAnsi" w:cstheme="minorHAnsi"/>
        </w:rPr>
        <w:t>「通過國際經濟和社會計劃，重視保護兒童權利 (卡達)」</w:t>
      </w:r>
    </w:p>
    <w:p w14:paraId="16A5B72A" w14:textId="77777777" w:rsidR="00AD2B12" w:rsidRDefault="006D73CF">
      <w:pPr>
        <w:spacing w:after="120"/>
        <w:rPr>
          <w:rFonts w:asciiTheme="minorHAnsi" w:hAnsiTheme="minorHAnsi" w:cstheme="minorHAnsi"/>
        </w:rPr>
      </w:pPr>
      <w:r>
        <w:rPr>
          <w:rFonts w:asciiTheme="minorHAnsi" w:hAnsiTheme="minorHAnsi" w:cstheme="minorHAnsi"/>
        </w:rPr>
        <w:t>第二個循環審查在 2013 年 (第 17 屆) 進行。對於體罰無特別建議。然而，與禁止體罰有關的下列建議經提出，並得到政府接受：</w:t>
      </w:r>
      <w:r>
        <w:rPr>
          <w:rStyle w:val="FootnoteReference"/>
          <w:rFonts w:asciiTheme="minorHAnsi" w:hAnsiTheme="minorHAnsi" w:cstheme="minorHAnsi"/>
        </w:rPr>
        <w:footnoteReference w:id="6"/>
      </w:r>
    </w:p>
    <w:p w14:paraId="6E7076F5" w14:textId="77777777" w:rsidR="00AD2B12" w:rsidRDefault="006D73CF">
      <w:pPr>
        <w:spacing w:after="120"/>
        <w:ind w:left="720"/>
        <w:rPr>
          <w:rFonts w:asciiTheme="minorHAnsi" w:hAnsiTheme="minorHAnsi" w:cstheme="minorHAnsi"/>
        </w:rPr>
      </w:pPr>
      <w:r>
        <w:rPr>
          <w:rFonts w:asciiTheme="minorHAnsi" w:hAnsiTheme="minorHAnsi" w:cstheme="minorHAnsi"/>
        </w:rPr>
        <w:t>「繼續進行國法審核，確保國法與國際人權法法律義務一致 (土庫曼斯坦)；</w:t>
      </w:r>
    </w:p>
    <w:p w14:paraId="6B9097C0" w14:textId="77777777" w:rsidR="00AD2B12" w:rsidRDefault="006D73CF">
      <w:pPr>
        <w:spacing w:after="120"/>
        <w:ind w:left="720"/>
        <w:rPr>
          <w:rFonts w:asciiTheme="minorHAnsi" w:hAnsiTheme="minorHAnsi" w:cstheme="minorHAnsi"/>
        </w:rPr>
      </w:pPr>
      <w:r>
        <w:rPr>
          <w:rFonts w:asciiTheme="minorHAnsi" w:hAnsiTheme="minorHAnsi" w:cstheme="minorHAnsi"/>
        </w:rPr>
        <w:t>「繼續考慮締約主體和其他機制的觀點 (肯亞)；</w:t>
      </w:r>
    </w:p>
    <w:p w14:paraId="251A9F9B" w14:textId="77777777" w:rsidR="00AD2B12" w:rsidRDefault="006D73CF">
      <w:pPr>
        <w:spacing w:after="120"/>
        <w:ind w:left="720"/>
        <w:rPr>
          <w:rFonts w:asciiTheme="minorHAnsi" w:hAnsiTheme="minorHAnsi" w:cstheme="minorHAnsi"/>
        </w:rPr>
      </w:pPr>
      <w:r>
        <w:rPr>
          <w:rFonts w:asciiTheme="minorHAnsi" w:hAnsiTheme="minorHAnsi" w:cstheme="minorHAnsi"/>
        </w:rPr>
        <w:t>「繼續保護兒童權利 (模里西斯)；</w:t>
      </w:r>
    </w:p>
    <w:p w14:paraId="0969C4B8" w14:textId="77777777" w:rsidR="00AD2B12" w:rsidRDefault="006D73CF">
      <w:pPr>
        <w:spacing w:after="120"/>
        <w:ind w:left="720"/>
        <w:rPr>
          <w:rFonts w:asciiTheme="minorHAnsi" w:hAnsiTheme="minorHAnsi" w:cstheme="minorHAnsi"/>
        </w:rPr>
      </w:pPr>
      <w:r>
        <w:rPr>
          <w:rFonts w:asciiTheme="minorHAnsi" w:hAnsiTheme="minorHAnsi" w:cstheme="minorHAnsi"/>
        </w:rPr>
        <w:t>「繼續致力宣傳和保護兒童權利，包括進一步采取行動打擊綁架，虐待和抛棄兒童 (伊索比亞)」</w:t>
      </w:r>
    </w:p>
    <w:p w14:paraId="7A722C3E" w14:textId="77777777" w:rsidR="00AD2B12" w:rsidRDefault="00AD2B12">
      <w:pPr>
        <w:spacing w:after="120"/>
        <w:rPr>
          <w:rFonts w:asciiTheme="minorHAnsi" w:hAnsiTheme="minorHAnsi" w:cstheme="minorHAnsi"/>
          <w:b/>
          <w:sz w:val="28"/>
          <w:u w:val="single"/>
        </w:rPr>
      </w:pPr>
    </w:p>
    <w:p w14:paraId="7A722C3F" w14:textId="6606AB87" w:rsidR="00AD2B12" w:rsidRDefault="006D73CF">
      <w:pPr>
        <w:pStyle w:val="Heading2"/>
        <w:spacing w:after="120"/>
        <w:rPr>
          <w:rFonts w:ascii="Amaranth" w:hAnsi="Amaranth" w:cstheme="minorHAnsi"/>
          <w:sz w:val="28"/>
        </w:rPr>
      </w:pPr>
      <w:bookmarkStart w:id="2" w:name="_Toc197483587"/>
      <w:r>
        <w:rPr>
          <w:rFonts w:ascii="Amaranth" w:hAnsi="Amaranth" w:cstheme="minorHAnsi"/>
          <w:sz w:val="28"/>
        </w:rPr>
        <w:t>人權締約主體提出的建議</w:t>
      </w:r>
      <w:bookmarkEnd w:id="2"/>
    </w:p>
    <w:p w14:paraId="5D696654" w14:textId="77777777" w:rsidR="00AD2B12" w:rsidRDefault="006D73CF">
      <w:pPr>
        <w:rPr>
          <w:rFonts w:asciiTheme="minorHAnsi" w:hAnsiTheme="minorHAnsi" w:cstheme="minorHAnsi"/>
        </w:rPr>
      </w:pPr>
      <w:r>
        <w:rPr>
          <w:rFonts w:asciiTheme="minorHAnsi" w:hAnsiTheme="minorHAnsi" w:cstheme="minorHAnsi"/>
          <w:b/>
        </w:rPr>
        <w:t xml:space="preserve">註： </w:t>
      </w:r>
      <w:r>
        <w:rPr>
          <w:rFonts w:asciiTheme="minorHAnsi" w:hAnsiTheme="minorHAnsi" w:cstheme="minorHAnsi"/>
        </w:rPr>
        <w:t>在 1997 年香港主權回歸後，中國政府知會聯合國秘書長，香港將保持公民權利及政治權利國際盟約地位。</w:t>
      </w:r>
    </w:p>
    <w:p w14:paraId="2F8796C8" w14:textId="77777777" w:rsidR="00AD2B12" w:rsidRDefault="006D73CF">
      <w:pPr>
        <w:rPr>
          <w:rFonts w:asciiTheme="minorHAnsi" w:hAnsiTheme="minorHAnsi" w:cstheme="minorHAnsi"/>
        </w:rPr>
      </w:pPr>
      <w:r>
        <w:rPr>
          <w:rFonts w:ascii="Calibri" w:hAnsi="Calibri" w:cs="Calibri"/>
        </w:rPr>
        <w:t>香港，和中國一樣，也是《兒童權利公約 》、《禁止酷刑和其他殘忍、不人道或有辱人格的待遇或處罰公約 》、《經濟、社會、文化權利國際公約 》、《消除一切形式歧視婦女公約 》和《殘疾人權利公約 》的締約國。</w:t>
      </w:r>
    </w:p>
    <w:p w14:paraId="28EF529B" w14:textId="77777777" w:rsidR="00AD2B12" w:rsidRDefault="00AD2B12"/>
    <w:p w14:paraId="7A722C40" w14:textId="77777777" w:rsidR="00AD2B12" w:rsidRDefault="006D73CF">
      <w:pPr>
        <w:pStyle w:val="Heading3"/>
        <w:spacing w:before="0" w:after="120"/>
        <w:rPr>
          <w:rFonts w:ascii="Amaranth" w:hAnsi="Amaranth" w:cstheme="minorHAnsi"/>
          <w:i/>
          <w:sz w:val="24"/>
        </w:rPr>
      </w:pPr>
      <w:r>
        <w:rPr>
          <w:rFonts w:ascii="Amaranth" w:hAnsi="Amaranth" w:cstheme="minorHAnsi"/>
          <w:i/>
          <w:sz w:val="24"/>
        </w:rPr>
        <w:t>聯合國兒童權利委員會</w:t>
      </w:r>
    </w:p>
    <w:p w14:paraId="788D647E" w14:textId="77777777" w:rsidR="00AD2B12" w:rsidRDefault="006D73CF">
      <w:pPr>
        <w:spacing w:after="120"/>
        <w:rPr>
          <w:rFonts w:asciiTheme="minorHAnsi" w:hAnsiTheme="minorHAnsi" w:cstheme="minorHAnsi"/>
        </w:rPr>
      </w:pPr>
      <w:r>
        <w:rPr>
          <w:rFonts w:asciiTheme="minorHAnsi" w:hAnsiTheme="minorHAnsi" w:cstheme="minorHAnsi"/>
        </w:rPr>
        <w:t>(2013 年 10 月 29 日，CRC/C/CHN/CO/3-4，第三/四次總結觀察報告，段落 6 和 7)</w:t>
      </w:r>
    </w:p>
    <w:p w14:paraId="6355293C" w14:textId="77777777" w:rsidR="00AD2B12" w:rsidRDefault="006D73CF">
      <w:pPr>
        <w:spacing w:after="120"/>
        <w:rPr>
          <w:rFonts w:asciiTheme="minorHAnsi" w:hAnsiTheme="minorHAnsi" w:cstheme="minorHAnsi"/>
        </w:rPr>
      </w:pPr>
      <w:r>
        <w:rPr>
          <w:rFonts w:asciiTheme="minorHAnsi" w:hAnsiTheme="minorHAnsi" w:cstheme="minorHAnsi"/>
        </w:rPr>
        <w:t>「委員會在歡迎締結國努力實行委員會 2005 年第二周期總結觀察報告 (CRC/C/CHN/CO/2) 的同時，遺憾地提出，報告中的某些建議未完全得到重視。</w:t>
      </w:r>
    </w:p>
    <w:p w14:paraId="551BDF8D" w14:textId="77777777" w:rsidR="00AD2B12" w:rsidRDefault="006D73CF">
      <w:pPr>
        <w:spacing w:after="120"/>
        <w:rPr>
          <w:rFonts w:asciiTheme="minorHAnsi" w:hAnsiTheme="minorHAnsi" w:cstheme="minorHAnsi"/>
        </w:rPr>
      </w:pPr>
      <w:r>
        <w:rPr>
          <w:rFonts w:asciiTheme="minorHAnsi" w:hAnsiTheme="minorHAnsi" w:cstheme="minorHAnsi"/>
        </w:rPr>
        <w:t>「回顧以往建議，委員會建議締結國採取一切必要的措施來重視未實施的，或未完全實施的建議，並促使：…</w:t>
      </w:r>
    </w:p>
    <w:p w14:paraId="295C0E9F" w14:textId="77777777" w:rsidR="00AD2B12" w:rsidRDefault="006D73CF">
      <w:pPr>
        <w:spacing w:after="120"/>
        <w:rPr>
          <w:rFonts w:asciiTheme="minorHAnsi" w:hAnsiTheme="minorHAnsi" w:cstheme="minorHAnsi"/>
        </w:rPr>
      </w:pPr>
      <w:r>
        <w:rPr>
          <w:rFonts w:asciiTheme="minorHAnsi" w:hAnsiTheme="minorHAnsi" w:cstheme="minorHAnsi"/>
        </w:rPr>
        <w:t>c) 法律明確禁止家庭中、學校、院舍和其他環境中的體罰，包括刑事監禁所。」</w:t>
      </w:r>
    </w:p>
    <w:p w14:paraId="27018376" w14:textId="079395B7" w:rsidR="00AD2B12" w:rsidRDefault="00AD2B12">
      <w:pPr>
        <w:pStyle w:val="SingleTxtG"/>
        <w:spacing w:line="240" w:lineRule="auto"/>
        <w:ind w:left="0" w:right="0"/>
        <w:jc w:val="left"/>
        <w:rPr>
          <w:rFonts w:asciiTheme="minorHAnsi" w:hAnsiTheme="minorHAnsi" w:cstheme="minorHAnsi"/>
          <w:sz w:val="24"/>
        </w:rPr>
      </w:pPr>
    </w:p>
    <w:p w14:paraId="43E33B09" w14:textId="79D88E82" w:rsidR="00AD2B12" w:rsidRDefault="006D73CF">
      <w:pPr>
        <w:pStyle w:val="SingleTxtG"/>
        <w:spacing w:line="240" w:lineRule="auto"/>
        <w:ind w:left="0" w:right="0"/>
        <w:jc w:val="left"/>
        <w:rPr>
          <w:rFonts w:ascii="Amaranth" w:hAnsi="Amaranth" w:cstheme="minorHAnsi"/>
          <w:i/>
          <w:sz w:val="24"/>
        </w:rPr>
      </w:pPr>
      <w:r>
        <w:rPr>
          <w:rFonts w:ascii="Amaranth" w:hAnsi="Amaranth" w:cstheme="minorHAnsi"/>
          <w:i/>
          <w:sz w:val="24"/>
        </w:rPr>
        <w:lastRenderedPageBreak/>
        <w:t>聯合國兒童權利委員會</w:t>
      </w:r>
    </w:p>
    <w:p w14:paraId="2D580633" w14:textId="77777777" w:rsidR="00AD2B12" w:rsidRDefault="006D73CF">
      <w:pPr>
        <w:autoSpaceDE w:val="0"/>
        <w:autoSpaceDN w:val="0"/>
        <w:adjustRightInd w:val="0"/>
        <w:spacing w:after="120"/>
        <w:rPr>
          <w:rFonts w:asciiTheme="minorHAnsi" w:hAnsiTheme="minorHAnsi" w:cstheme="minorHAnsi"/>
        </w:rPr>
      </w:pPr>
      <w:r>
        <w:rPr>
          <w:rFonts w:asciiTheme="minorHAnsi" w:hAnsiTheme="minorHAnsi" w:cstheme="minorHAnsi"/>
        </w:rPr>
        <w:t>(2005 年 11 月 24 日，對於中國 (包括香港和澳門特別行政區) 的第二次總結觀察報告，CRC/C/CHN/CO/2，段落 46，47 和 48）</w:t>
      </w:r>
    </w:p>
    <w:p w14:paraId="24F29597" w14:textId="77777777" w:rsidR="00AD2B12" w:rsidRDefault="006D73CF">
      <w:p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「委員會擔心在中國大陸，在學校中現有禁止體罰的規定實施程度不均。他們還擔心，家庭中的體罰未得到禁止，並繼續被社會所接受。</w:t>
      </w:r>
    </w:p>
    <w:p w14:paraId="09618B24" w14:textId="77777777" w:rsidR="00AD2B12" w:rsidRDefault="006D73CF">
      <w:p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「委員會擔心，家中體罰未被法律禁止，並繼續在香港和澳門特別行政區的家庭中施行。</w:t>
      </w:r>
    </w:p>
    <w:p w14:paraId="7E2389EA" w14:textId="77777777" w:rsidR="00AD2B12" w:rsidRDefault="006D73CF">
      <w:p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「委員會督促締結國，在其所有管轄地區内：</w:t>
      </w:r>
    </w:p>
    <w:p w14:paraId="346ECBCC" w14:textId="77777777" w:rsidR="00AD2B12" w:rsidRDefault="006D73CF">
      <w:pPr>
        <w:autoSpaceDE w:val="0"/>
        <w:autoSpaceDN w:val="0"/>
        <w:adjustRightInd w:val="0"/>
        <w:spacing w:after="120"/>
        <w:rPr>
          <w:rFonts w:asciiTheme="minorHAnsi" w:eastAsiaTheme="minorHAnsi" w:hAnsiTheme="minorHAnsi" w:cstheme="minorHAnsi"/>
        </w:rPr>
      </w:pPr>
      <w:r>
        <w:rPr>
          <w:rFonts w:asciiTheme="minorHAnsi" w:eastAsiaTheme="minorHAnsi" w:hAnsiTheme="minorHAnsi" w:cstheme="minorHAnsi"/>
        </w:rPr>
        <w:t>c) 法律明確禁止家庭、學校、院舍和其他環境中的體罰，包括刑事監禁所；</w:t>
      </w:r>
    </w:p>
    <w:p w14:paraId="198D1945" w14:textId="77777777" w:rsidR="00AD2B12" w:rsidRDefault="006D73CF">
      <w:pPr>
        <w:autoSpaceDE w:val="0"/>
        <w:autoSpaceDN w:val="0"/>
        <w:adjustRightInd w:val="0"/>
        <w:spacing w:after="120"/>
        <w:rPr>
          <w:rFonts w:asciiTheme="minorHAnsi" w:hAnsiTheme="minorHAnsi" w:cstheme="minorHAnsi"/>
        </w:rPr>
      </w:pPr>
      <w:r>
        <w:rPr>
          <w:rFonts w:asciiTheme="minorHAnsi" w:eastAsiaTheme="minorHAnsi" w:hAnsiTheme="minorHAnsi" w:cstheme="minorHAnsi"/>
        </w:rPr>
        <w:t>b) 在兒童的參與下，擴大公共教育和提高覺悟的活動，用非暴力管教形式替代體罰，以改變公眾對體罰的態度。」</w:t>
      </w:r>
    </w:p>
    <w:p w14:paraId="550F1C78" w14:textId="77777777" w:rsidR="00AD2B12" w:rsidRDefault="00AD2B12">
      <w:pPr>
        <w:spacing w:after="120"/>
        <w:rPr>
          <w:rFonts w:asciiTheme="minorHAnsi" w:hAnsiTheme="minorHAnsi" w:cstheme="minorHAnsi"/>
          <w:i/>
        </w:rPr>
      </w:pPr>
    </w:p>
    <w:p w14:paraId="3FC40E78" w14:textId="77777777" w:rsidR="00AD2B12" w:rsidRDefault="006D73CF">
      <w:pPr>
        <w:pStyle w:val="SingleTxtG"/>
        <w:spacing w:line="240" w:lineRule="auto"/>
        <w:ind w:left="0" w:right="0"/>
        <w:jc w:val="left"/>
        <w:rPr>
          <w:rFonts w:ascii="Amaranth" w:hAnsi="Amaranth" w:cstheme="minorHAnsi"/>
          <w:i/>
          <w:sz w:val="24"/>
        </w:rPr>
      </w:pPr>
      <w:r>
        <w:rPr>
          <w:rFonts w:ascii="Amaranth" w:hAnsi="Amaranth" w:cstheme="minorHAnsi"/>
          <w:i/>
          <w:sz w:val="24"/>
        </w:rPr>
        <w:t xml:space="preserve">聯合國兒童權利委員會 </w:t>
      </w:r>
    </w:p>
    <w:p w14:paraId="5F6BFA7E" w14:textId="77777777" w:rsidR="00AD2B12" w:rsidRDefault="006D73CF">
      <w:pPr>
        <w:spacing w:after="120"/>
        <w:rPr>
          <w:rFonts w:asciiTheme="minorHAnsi" w:hAnsiTheme="minorHAnsi" w:cstheme="minorHAnsi"/>
        </w:rPr>
      </w:pPr>
      <w:r>
        <w:rPr>
          <w:rFonts w:asciiTheme="minorHAnsi" w:hAnsiTheme="minorHAnsi" w:cstheme="minorHAnsi"/>
        </w:rPr>
        <w:t>(1996 年 10 月 30 日，CRC/C/15/Add.63，在對大不列顛和北愛爾蘭聯合王國：附屬地區 (香港) 的首次總結觀察報告，段落 27) (註：香港於 1997 年終止為英國的附屬地區。)</w:t>
      </w:r>
    </w:p>
    <w:p w14:paraId="4C759900" w14:textId="77777777" w:rsidR="00AD2B12" w:rsidRDefault="006D73CF">
      <w:pPr>
        <w:pStyle w:val="BodyText1"/>
        <w:spacing w:after="120"/>
        <w:rPr>
          <w:rFonts w:asciiTheme="minorHAnsi" w:hAnsiTheme="minorHAnsi" w:cstheme="minorHAnsi"/>
        </w:rPr>
      </w:pPr>
      <w:r>
        <w:rPr>
          <w:rFonts w:asciiTheme="minorHAnsi" w:hAnsiTheme="minorHAnsi" w:cstheme="minorHAnsi"/>
        </w:rPr>
        <w:t>「委員會希望再一次認可，在處理虐待兒童問題上所做的重要努力。儘管如此，委員會認為，防止損害兒童權利有待社會進一步的態度轉變：不但對於體罰和身心虐待要抱有不可接受的態度，還要更加尊重孩子與生俱來的尊嚴。」</w:t>
      </w:r>
    </w:p>
    <w:p w14:paraId="10C03AF0" w14:textId="77777777" w:rsidR="00AD2B12" w:rsidRDefault="00AD2B12">
      <w:pPr>
        <w:pStyle w:val="SingleTxtG"/>
        <w:spacing w:line="240" w:lineRule="auto"/>
        <w:ind w:left="0" w:right="0"/>
        <w:jc w:val="left"/>
        <w:rPr>
          <w:rFonts w:asciiTheme="minorHAnsi" w:hAnsiTheme="minorHAnsi" w:cstheme="minorHAnsi"/>
          <w:sz w:val="24"/>
        </w:rPr>
      </w:pPr>
    </w:p>
    <w:p w14:paraId="01B109F1" w14:textId="5E08DF11" w:rsidR="00AD2B12" w:rsidRDefault="006D73CF">
      <w:pPr>
        <w:pStyle w:val="Heading3"/>
        <w:spacing w:before="0" w:after="120"/>
        <w:rPr>
          <w:rFonts w:ascii="Amaranth" w:hAnsi="Amaranth" w:cstheme="minorHAnsi"/>
          <w:i/>
          <w:sz w:val="24"/>
        </w:rPr>
      </w:pPr>
      <w:r>
        <w:rPr>
          <w:rFonts w:ascii="Amaranth" w:hAnsi="Amaranth" w:cstheme="minorHAnsi"/>
          <w:i/>
          <w:sz w:val="24"/>
        </w:rPr>
        <w:t>委員會禁止酷刑</w:t>
      </w:r>
    </w:p>
    <w:p w14:paraId="6A8B5352" w14:textId="77777777" w:rsidR="00AD2B12" w:rsidRDefault="006D73CF">
      <w:pPr>
        <w:spacing w:after="120"/>
        <w:rPr>
          <w:rFonts w:asciiTheme="minorHAnsi" w:hAnsiTheme="minorHAnsi" w:cstheme="minorHAnsi"/>
          <w:i/>
        </w:rPr>
      </w:pPr>
      <w:r>
        <w:rPr>
          <w:rFonts w:asciiTheme="minorHAnsi" w:hAnsiTheme="minorHAnsi" w:cstheme="minorHAnsi"/>
        </w:rPr>
        <w:t>(1996 年 7 月 9 日，A/51/44，在對大不列顛和北愛爾蘭聯合王國：附屬地區 (香港) 的第二次總結觀察報告，段落 58-65，段落 65) (註：香港於 1997 年終止為英國的附屬地區。)</w:t>
      </w:r>
    </w:p>
    <w:p w14:paraId="7E08538B" w14:textId="77777777" w:rsidR="00AD2B12" w:rsidRDefault="006D73CF">
      <w:pPr>
        <w:spacing w:after="120"/>
        <w:rPr>
          <w:rFonts w:asciiTheme="minorHAnsi" w:hAnsiTheme="minorHAnsi" w:cstheme="minorHAnsi"/>
        </w:rPr>
      </w:pPr>
      <w:r>
        <w:rPr>
          <w:rFonts w:asciiTheme="minorHAnsi" w:hAnsiTheme="minorHAnsi" w:cstheme="minorHAnsi"/>
        </w:rPr>
        <w:t>「委員會建議英國政府採取以下措施：</w:t>
      </w:r>
    </w:p>
    <w:p w14:paraId="2079E4C6" w14:textId="77777777" w:rsidR="00AD2B12" w:rsidRDefault="006D73CF">
      <w:pPr>
        <w:spacing w:after="120"/>
        <w:rPr>
          <w:rFonts w:asciiTheme="minorHAnsi" w:hAnsiTheme="minorHAnsi" w:cstheme="minorHAnsi"/>
        </w:rPr>
      </w:pPr>
      <w:r>
        <w:rPr>
          <w:rFonts w:asciiTheme="minorHAnsi" w:hAnsiTheme="minorHAnsi" w:cstheme="minorHAnsi"/>
        </w:rPr>
        <w:t>i) 重新考慮是否應於仍然存在體罰的附屬地區廢除體罰。」</w:t>
      </w:r>
    </w:p>
    <w:p w14:paraId="7F4A3B58" w14:textId="77777777" w:rsidR="00AD2B12" w:rsidRDefault="00AD2B12">
      <w:pPr>
        <w:spacing w:after="120"/>
        <w:rPr>
          <w:rFonts w:asciiTheme="minorHAnsi" w:hAnsiTheme="minorHAnsi" w:cstheme="minorHAnsi"/>
        </w:rPr>
      </w:pPr>
    </w:p>
    <w:p w14:paraId="5DD3A0BE" w14:textId="77777777" w:rsidR="00AD2B12" w:rsidRDefault="006D73CF">
      <w:pPr>
        <w:pStyle w:val="Heading3"/>
        <w:spacing w:before="0" w:after="120"/>
        <w:rPr>
          <w:rFonts w:ascii="Amaranth" w:hAnsi="Amaranth" w:cstheme="minorHAnsi"/>
          <w:i/>
          <w:sz w:val="24"/>
        </w:rPr>
      </w:pPr>
      <w:r>
        <w:rPr>
          <w:rFonts w:ascii="Amaranth" w:hAnsi="Amaranth" w:cstheme="minorHAnsi"/>
          <w:i/>
          <w:sz w:val="24"/>
        </w:rPr>
        <w:t>人權委員會</w:t>
      </w:r>
    </w:p>
    <w:p w14:paraId="1ACA89F1" w14:textId="77777777" w:rsidR="00AD2B12" w:rsidRDefault="006D73CF">
      <w:pPr>
        <w:spacing w:after="120"/>
        <w:rPr>
          <w:rFonts w:asciiTheme="minorHAnsi" w:hAnsiTheme="minorHAnsi" w:cstheme="minorHAnsi"/>
        </w:rPr>
      </w:pPr>
      <w:r>
        <w:rPr>
          <w:rFonts w:asciiTheme="minorHAnsi" w:hAnsiTheme="minorHAnsi" w:cstheme="minorHAnsi"/>
        </w:rPr>
        <w:t>(2013 年 4 月 29日，CRC/C/CHN/CO/3-4，第三次總結觀察報告，段落 16)</w:t>
      </w:r>
    </w:p>
    <w:p w14:paraId="671AB21F" w14:textId="77777777" w:rsidR="00AD2B12" w:rsidRDefault="006D73CF">
      <w:pPr>
        <w:spacing w:after="120"/>
        <w:rPr>
          <w:rFonts w:asciiTheme="minorHAnsi" w:hAnsiTheme="minorHAnsi" w:cstheme="minorHAnsi"/>
        </w:rPr>
      </w:pPr>
      <w:r>
        <w:rPr>
          <w:rFonts w:asciiTheme="minorHAnsi" w:hAnsiTheme="minorHAnsi" w:cstheme="minorHAnsi"/>
        </w:rPr>
        <w:t>「委員會注意到，在防止父母施行體罰方面已經做出了努力。然而，他們擔心在家中施行體罰的狀況會持續存在 (第 7 條)。</w:t>
      </w:r>
    </w:p>
    <w:p w14:paraId="33204B07" w14:textId="1E7B9633" w:rsidR="00AD2B12" w:rsidRDefault="006D73CF">
      <w:pPr>
        <w:pStyle w:val="SingleTxtG"/>
        <w:spacing w:line="240" w:lineRule="auto"/>
        <w:ind w:left="0" w:right="0"/>
        <w:jc w:val="left"/>
        <w:rPr>
          <w:rFonts w:asciiTheme="minorHAnsi" w:hAnsiTheme="minorHAnsi" w:cstheme="minorHAnsi"/>
          <w:sz w:val="24"/>
        </w:rPr>
      </w:pPr>
      <w:r>
        <w:rPr>
          <w:rFonts w:asciiTheme="minorHAnsi" w:hAnsiTheme="minorHAnsi" w:cstheme="minorHAnsi"/>
          <w:sz w:val="24"/>
        </w:rPr>
        <w:lastRenderedPageBreak/>
        <w:t>中國香港，應該採取實際的行動來杜絕於任何場合中施行體罰。鼓勵用非暴力管教形式替代體罰，應當推行公眾信息活動來提高意識，了解體罰帶來的有害後果。中國香港應當採取倡議行動，就父母對子女施行體罰展開全方位的公眾討論。</w:t>
      </w:r>
    </w:p>
    <w:p w14:paraId="063DEA50" w14:textId="77777777" w:rsidR="00AD2B12" w:rsidRDefault="00AD2B12">
      <w:pPr>
        <w:pStyle w:val="SingleTxtG"/>
        <w:spacing w:line="240" w:lineRule="auto"/>
        <w:ind w:left="0" w:right="0"/>
        <w:jc w:val="left"/>
        <w:rPr>
          <w:rFonts w:asciiTheme="minorHAnsi" w:hAnsiTheme="minorHAnsi" w:cstheme="minorHAnsi"/>
          <w:sz w:val="24"/>
        </w:rPr>
      </w:pPr>
    </w:p>
    <w:p w14:paraId="01540E00" w14:textId="77777777" w:rsidR="00AD2B12" w:rsidRDefault="006D73CF">
      <w:pPr>
        <w:pStyle w:val="Heading2"/>
        <w:spacing w:after="120"/>
        <w:rPr>
          <w:rFonts w:ascii="Amaranth" w:hAnsi="Amaranth" w:cstheme="minorHAnsi"/>
          <w:sz w:val="28"/>
        </w:rPr>
      </w:pPr>
      <w:bookmarkStart w:id="3" w:name="_Toc197483586"/>
      <w:r>
        <w:rPr>
          <w:rFonts w:ascii="Amaranth" w:hAnsi="Amaranth" w:cstheme="minorHAnsi"/>
          <w:sz w:val="28"/>
        </w:rPr>
        <w:t>盛行觀感／態度調查</w:t>
      </w:r>
      <w:bookmarkEnd w:id="3"/>
      <w:r>
        <w:rPr>
          <w:rFonts w:ascii="Amaranth" w:hAnsi="Amaranth" w:cstheme="minorHAnsi"/>
          <w:sz w:val="28"/>
        </w:rPr>
        <w:t xml:space="preserve"> 過去十年的</w:t>
      </w:r>
    </w:p>
    <w:p w14:paraId="768F8A81" w14:textId="77777777" w:rsidR="00AD2B12" w:rsidRDefault="006D73CF">
      <w:pPr>
        <w:spacing w:after="60"/>
        <w:rPr>
          <w:rFonts w:asciiTheme="minorHAnsi" w:hAnsiTheme="minorHAnsi" w:cstheme="minorHAnsi"/>
        </w:rPr>
      </w:pPr>
      <w:r>
        <w:rPr>
          <w:rFonts w:asciiTheme="minorHAnsi" w:hAnsiTheme="minorHAnsi" w:cstheme="minorHAnsi"/>
        </w:rPr>
        <w:t>一項調查，在 2014 年到 2015 年間採訪了 1,562 位學生，發現54% 的 6-13 歲兒童在調查前一年經受過父母體罰；10% 的兒童說他們每週受罰，而5%的兒童說他們每天受罰。體罰的主要原因有：成績差或遲交作業 (51%)，和生活習慣問題，比如貪玩電玩或亂花零用錢 (47%)。兒童還報稱受到心理虐待，父母威脅丟棄子女的心愛玩具或其他遊戲物品 (22%)，受到杯葛或言語虐待 (12%)，和關禁閉懲罰 (3%)。</w:t>
      </w:r>
    </w:p>
    <w:p w14:paraId="7BC16A66" w14:textId="77777777" w:rsidR="00AD2B12" w:rsidRDefault="006D73CF">
      <w:pPr>
        <w:spacing w:after="240"/>
        <w:jc w:val="right"/>
        <w:rPr>
          <w:rFonts w:asciiTheme="minorHAnsi" w:hAnsiTheme="minorHAnsi" w:cstheme="minorHAnsi"/>
          <w:sz w:val="20"/>
        </w:rPr>
      </w:pPr>
      <w:r>
        <w:rPr>
          <w:rFonts w:asciiTheme="minorHAnsi" w:hAnsiTheme="minorHAnsi" w:cstheme="minorHAnsi"/>
          <w:sz w:val="20"/>
        </w:rPr>
        <w:t>(反虐童 (2015)，「本地和新抵埠父母兒童對體罰、心理傷害、忽視和居家安全，香港：反虐童」</w:t>
      </w:r>
    </w:p>
    <w:p w14:paraId="461BCEDA" w14:textId="77777777" w:rsidR="00AD2B12" w:rsidRDefault="006D73CF">
      <w:pPr>
        <w:spacing w:after="240"/>
        <w:rPr>
          <w:rFonts w:asciiTheme="minorHAnsi" w:hAnsiTheme="minorHAnsi" w:cstheme="minorHAnsi"/>
        </w:rPr>
      </w:pPr>
      <w:r>
        <w:rPr>
          <w:rFonts w:asciiTheme="minorHAnsi" w:hAnsiTheme="minorHAnsi" w:cstheme="minorHAnsi"/>
        </w:rPr>
        <w:t>一項有關父母和兒童對禁止體罰態度問題的調查，由「反虐童有限公司」在 2006-7 年間展開；366 位家長和 356 位中學學童參與了調查。超過五分之四的父母 (83.3%)，承認對其子女施行過體罰。受訪者認為體罰帶來的最主要的負面影響為，「肉體傷害」(持此觀點的有 85.7% 的學生，59.8% 的家長)，「心理傷害」(81.5% 的學生，64.2% 的家長)，和「影響親子關係」(81.7% 的學生，70.5% 的家長)。五分之三的學生 (74.2%) 和將近半數的家長 (49.7%) 支持禁止體罰。</w:t>
      </w:r>
    </w:p>
    <w:p w14:paraId="33DB6E84" w14:textId="77777777" w:rsidR="00AD2B12" w:rsidRDefault="006D73CF">
      <w:pPr>
        <w:spacing w:after="240"/>
        <w:jc w:val="right"/>
        <w:rPr>
          <w:rFonts w:asciiTheme="minorHAnsi" w:hAnsiTheme="minorHAnsi" w:cstheme="minorHAnsi"/>
          <w:sz w:val="20"/>
        </w:rPr>
      </w:pPr>
      <w:r>
        <w:rPr>
          <w:rFonts w:asciiTheme="minorHAnsi" w:hAnsiTheme="minorHAnsi" w:cstheme="minorHAnsi"/>
          <w:sz w:val="20"/>
        </w:rPr>
        <w:t>(調查公佈在 2007 年「不打小孩日」的媒體發佈會上，信息來自「環球倡議」通訊，2009 年 2 月)</w:t>
      </w:r>
    </w:p>
    <w:p w14:paraId="042B9852" w14:textId="77777777" w:rsidR="00AD2B12" w:rsidRDefault="006D73CF">
      <w:pPr>
        <w:spacing w:after="60"/>
        <w:rPr>
          <w:rFonts w:asciiTheme="minorHAnsi" w:hAnsiTheme="minorHAnsi" w:cstheme="minorHAnsi"/>
        </w:rPr>
      </w:pPr>
      <w:r>
        <w:rPr>
          <w:rFonts w:asciiTheme="minorHAnsi" w:hAnsiTheme="minorHAnsi" w:cstheme="minorHAnsi"/>
        </w:rPr>
        <w:t>2008 年 3 月，由香港大學社會工作和社會行政系聯合 UNICEF 駐香港委員會發佈的研究指出，超過五分之一的兒童被父母打過 (佔大約 6,000 名小學和中學學生的 21%) - 然而終身盛行率更高，為 58%。</w:t>
      </w:r>
    </w:p>
    <w:p w14:paraId="177F3784" w14:textId="77777777" w:rsidR="00AD2B12" w:rsidRDefault="006D73CF">
      <w:pPr>
        <w:spacing w:after="240"/>
        <w:jc w:val="right"/>
        <w:rPr>
          <w:rFonts w:asciiTheme="minorHAnsi" w:hAnsiTheme="minorHAnsi" w:cstheme="minorHAnsi"/>
          <w:b/>
          <w:sz w:val="20"/>
        </w:rPr>
      </w:pPr>
      <w:r>
        <w:rPr>
          <w:rFonts w:asciiTheme="minorHAnsi" w:hAnsiTheme="minorHAnsi" w:cstheme="minorHAnsi"/>
          <w:sz w:val="20"/>
        </w:rPr>
        <w:t xml:space="preserve">(Chan, K. L. (2008), </w:t>
      </w:r>
      <w:r>
        <w:rPr>
          <w:rFonts w:asciiTheme="minorHAnsi" w:hAnsiTheme="minorHAnsi" w:cstheme="minorHAnsi"/>
          <w:i/>
          <w:sz w:val="20"/>
        </w:rPr>
        <w:t>「關愛兒童家庭：家庭暴力免疫」的研究</w:t>
      </w:r>
      <w:r>
        <w:rPr>
          <w:rFonts w:asciiTheme="minorHAnsi" w:hAnsiTheme="minorHAnsi" w:cstheme="minorHAnsi"/>
          <w:sz w:val="20"/>
        </w:rPr>
        <w:t>，香港：UNICEF 駐香港委員會和香港大學社會工作和社會行政系)</w:t>
      </w:r>
    </w:p>
    <w:p w14:paraId="54008309" w14:textId="600D3AA4" w:rsidR="00AD2B12" w:rsidRDefault="00AD2B12">
      <w:pPr>
        <w:spacing w:after="60"/>
        <w:rPr>
          <w:rFonts w:asciiTheme="minorHAnsi" w:eastAsia="Calibri" w:hAnsiTheme="minorHAnsi" w:cstheme="minorHAnsi"/>
          <w:sz w:val="20"/>
        </w:rPr>
      </w:pPr>
    </w:p>
    <w:sectPr w:rsidR="00AD2B12">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3204B" w14:textId="77777777" w:rsidR="00D85B3F" w:rsidRDefault="00D85B3F">
      <w:r>
        <w:separator/>
      </w:r>
    </w:p>
    <w:p w14:paraId="605ABE94" w14:textId="77777777" w:rsidR="00D85B3F" w:rsidRDefault="00D85B3F"/>
  </w:endnote>
  <w:endnote w:type="continuationSeparator" w:id="0">
    <w:p w14:paraId="1127C816" w14:textId="77777777" w:rsidR="00D85B3F" w:rsidRDefault="00D85B3F">
      <w:r>
        <w:continuationSeparator/>
      </w:r>
    </w:p>
    <w:p w14:paraId="3E33BD33" w14:textId="77777777" w:rsidR="00D85B3F" w:rsidRDefault="00D85B3F"/>
  </w:endnote>
  <w:endnote w:type="continuationNotice" w:id="1">
    <w:p w14:paraId="05529664" w14:textId="77777777" w:rsidR="00D85B3F" w:rsidRDefault="00D85B3F"/>
    <w:p w14:paraId="4C601BBF" w14:textId="77777777" w:rsidR="00D85B3F" w:rsidRDefault="00D85B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PMingLiU">
    <w:altName w:val="Microsoft JhengHei"/>
    <w:panose1 w:val="02010601000101010101"/>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34B94B8B" w:rsidR="00AD2B12" w:rsidRDefault="006D73CF">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335E2">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AD2B12" w:rsidRDefault="00AD2B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4C53F" w14:textId="77777777" w:rsidR="00D85B3F" w:rsidRDefault="00D85B3F">
      <w:r>
        <w:separator/>
      </w:r>
    </w:p>
    <w:p w14:paraId="663FCAB7" w14:textId="77777777" w:rsidR="00D85B3F" w:rsidRDefault="00D85B3F"/>
  </w:footnote>
  <w:footnote w:type="continuationSeparator" w:id="0">
    <w:p w14:paraId="0C867EBC" w14:textId="77777777" w:rsidR="00D85B3F" w:rsidRDefault="00D85B3F">
      <w:r>
        <w:continuationSeparator/>
      </w:r>
    </w:p>
    <w:p w14:paraId="1EB8B835" w14:textId="77777777" w:rsidR="00D85B3F" w:rsidRDefault="00D85B3F"/>
  </w:footnote>
  <w:footnote w:type="continuationNotice" w:id="1">
    <w:p w14:paraId="4B95A470" w14:textId="77777777" w:rsidR="00D85B3F" w:rsidRDefault="00D85B3F"/>
    <w:p w14:paraId="46D23A59" w14:textId="77777777" w:rsidR="00D85B3F" w:rsidRDefault="00D85B3F"/>
  </w:footnote>
  <w:footnote w:id="2">
    <w:p w14:paraId="25174464" w14:textId="77777777" w:rsidR="00AD2B12" w:rsidRDefault="006D73C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2012 年 8 月 24 日，CRC/C/CHN-HKG/2，未經編輯版本，第二次報告，段落 149</w:t>
      </w:r>
    </w:p>
  </w:footnote>
  <w:footnote w:id="3">
    <w:p w14:paraId="08A77C75" w14:textId="77777777" w:rsidR="00AD2B12" w:rsidRDefault="006D73C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香港法律改革委員會 (2002)，</w:t>
      </w:r>
      <w:r>
        <w:rPr>
          <w:rFonts w:asciiTheme="minorHAnsi" w:hAnsiTheme="minorHAnsi" w:cstheme="minorHAnsi"/>
          <w:i/>
        </w:rPr>
        <w:t>「報告：兒童監護」</w:t>
      </w:r>
    </w:p>
  </w:footnote>
  <w:footnote w:id="4">
    <w:p w14:paraId="1C5E5CF6" w14:textId="77777777" w:rsidR="00AD2B12" w:rsidRDefault="006D73C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2011 年 7 月 19 日，CCPR/C/CHN-HKG/3，締結國第三次報告，段落 308</w:t>
      </w:r>
    </w:p>
  </w:footnote>
  <w:footnote w:id="5">
    <w:p w14:paraId="39AC7E4B" w14:textId="77777777" w:rsidR="00AD2B12" w:rsidRDefault="006D73CF">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2009 年 10 月 5 日，A/HRC/11/25，工作組報告，段落 114(2)，114(3) 和 114(13)</w:t>
      </w:r>
    </w:p>
  </w:footnote>
  <w:footnote w:id="6">
    <w:p w14:paraId="2975C69C" w14:textId="77777777" w:rsidR="00AD2B12" w:rsidRDefault="006D73CF">
      <w:pPr>
        <w:rPr>
          <w:rFonts w:asciiTheme="minorHAnsi" w:hAnsiTheme="minorHAnsi" w:cstheme="minorHAnsi"/>
          <w:sz w:val="20"/>
        </w:rPr>
      </w:pPr>
      <w:r>
        <w:rPr>
          <w:rStyle w:val="FootnoteReference"/>
          <w:rFonts w:asciiTheme="minorHAnsi" w:hAnsiTheme="minorHAnsi" w:cstheme="minorHAnsi"/>
          <w:sz w:val="20"/>
        </w:rPr>
        <w:footnoteRef/>
      </w:r>
      <w:r>
        <w:rPr>
          <w:rFonts w:asciiTheme="minorHAnsi" w:hAnsiTheme="minorHAnsi" w:cstheme="minorHAnsi"/>
          <w:sz w:val="20"/>
        </w:rPr>
        <w:t xml:space="preserve"> 2013 年 12 月 4 日，A/HRC/25/5，工作組報告，段落 186(54)，186(64)，186(77) 和 186(80)</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35E2"/>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6DF7"/>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6019"/>
    <w:rsid w:val="00667B6E"/>
    <w:rsid w:val="00670CE7"/>
    <w:rsid w:val="00674645"/>
    <w:rsid w:val="006825A3"/>
    <w:rsid w:val="00682E39"/>
    <w:rsid w:val="006929A1"/>
    <w:rsid w:val="006A1C2C"/>
    <w:rsid w:val="006C2E7A"/>
    <w:rsid w:val="006D0138"/>
    <w:rsid w:val="006D73CF"/>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47165"/>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B35C4"/>
    <w:rsid w:val="00AC10E4"/>
    <w:rsid w:val="00AC2417"/>
    <w:rsid w:val="00AC78F1"/>
    <w:rsid w:val="00AD1084"/>
    <w:rsid w:val="00AD2B12"/>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B1D"/>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5B3F"/>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zh-TW"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zh-TW"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280D9271-C3EC-46E0-B80B-10920AF9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2019-11-13T11:55:00Z</dcterms:created>
  <dcterms:modified xsi:type="dcterms:W3CDTF">2019-11-13T11:55:00Z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