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86020A" w14:paraId="444161C0" w14:textId="77777777">
        <w:tc>
          <w:tcPr>
            <w:tcW w:w="10138" w:type="dxa"/>
            <w:gridSpan w:val="2"/>
          </w:tcPr>
          <w:p w14:paraId="1A30267E" w14:textId="5D938ED9" w:rsidR="0086020A" w:rsidRDefault="00E62283">
            <w:pPr>
              <w:spacing w:before="120" w:after="240"/>
              <w:rPr>
                <w:rFonts w:ascii="Amaranth" w:hAnsi="Amaranth" w:cstheme="minorHAnsi"/>
                <w:b/>
                <w:noProof/>
                <w:color w:val="1E3250"/>
                <w:sz w:val="48"/>
              </w:rPr>
            </w:pPr>
            <w:bookmarkStart w:id="0" w:name="_GoBack"/>
            <w:bookmarkEnd w:id="0"/>
            <w:r>
              <w:rPr>
                <w:rFonts w:ascii="Amaranth" w:hAnsi="Amaranth" w:cstheme="minorHAnsi"/>
                <w:b/>
                <w:color w:val="1E3250"/>
                <w:sz w:val="50"/>
              </w:rPr>
              <w:t>澳門兒童體罰問題</w:t>
            </w:r>
          </w:p>
        </w:tc>
      </w:tr>
      <w:tr w:rsidR="0086020A" w14:paraId="63C617FD" w14:textId="77777777">
        <w:tc>
          <w:tcPr>
            <w:tcW w:w="5211" w:type="dxa"/>
          </w:tcPr>
          <w:p w14:paraId="161E86DF" w14:textId="3848EBC8" w:rsidR="0086020A" w:rsidRPr="00E24BFD" w:rsidRDefault="00E62283">
            <w:pPr>
              <w:spacing w:before="240"/>
              <w:rPr>
                <w:rFonts w:ascii="Amaranth" w:hAnsi="Amaranth" w:cstheme="minorHAnsi"/>
                <w:sz w:val="22"/>
                <w:szCs w:val="22"/>
              </w:rPr>
            </w:pPr>
            <w:bookmarkStart w:id="1" w:name="_Toc197483692"/>
            <w:r w:rsidRPr="00E24BFD">
              <w:rPr>
                <w:rFonts w:ascii="Amaranth" w:hAnsi="Amaranth" w:cstheme="minorHAnsi"/>
                <w:sz w:val="22"/>
                <w:szCs w:val="22"/>
              </w:rPr>
              <w:t>更新于2018年2月</w:t>
            </w:r>
          </w:p>
          <w:p w14:paraId="0EEC5A5A" w14:textId="6CFCA4D0" w:rsidR="0086020A" w:rsidRPr="00E24BFD" w:rsidRDefault="00E62283">
            <w:pPr>
              <w:rPr>
                <w:rFonts w:ascii="Amaranth" w:hAnsi="Amaranth" w:cstheme="minorHAnsi"/>
                <w:color w:val="0096A3"/>
                <w:sz w:val="22"/>
                <w:szCs w:val="22"/>
              </w:rPr>
            </w:pPr>
            <w:r w:rsidRPr="00E24BFD">
              <w:rPr>
                <w:rFonts w:ascii="Amaranth" w:hAnsi="Amaranth" w:cstheme="minorHAnsi"/>
                <w:sz w:val="22"/>
                <w:szCs w:val="22"/>
              </w:rPr>
              <w:t>亦可線上查看</w:t>
            </w:r>
            <w:r w:rsidRPr="00E24BFD">
              <w:rPr>
                <w:rFonts w:ascii="Amaranth" w:hAnsi="Amaranth" w:cstheme="minorHAnsi"/>
                <w:b/>
                <w:sz w:val="22"/>
                <w:szCs w:val="22"/>
              </w:rPr>
              <w:t xml:space="preserve"> </w:t>
            </w:r>
            <w:hyperlink r:id="rId11" w:history="1">
              <w:r w:rsidRPr="00E24BFD">
                <w:rPr>
                  <w:rStyle w:val="Hyperlink"/>
                  <w:rFonts w:ascii="Amaranth" w:hAnsi="Amaranth" w:cstheme="minorHAnsi"/>
                  <w:color w:val="0096A3"/>
                  <w:sz w:val="22"/>
                  <w:szCs w:val="22"/>
                </w:rPr>
                <w:t>www.endcorporalpunishment.org</w:t>
              </w:r>
            </w:hyperlink>
          </w:p>
          <w:p w14:paraId="73DB0DE5" w14:textId="580FF24C" w:rsidR="0086020A" w:rsidRDefault="00E62283">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sidRPr="00E24BFD">
              <w:rPr>
                <w:rFonts w:ascii="Amaranth" w:hAnsi="Amaranth" w:cstheme="minorHAnsi"/>
                <w:b/>
                <w:sz w:val="22"/>
                <w:szCs w:val="22"/>
              </w:rPr>
              <w:t xml:space="preserve">兒童人口 </w:t>
            </w:r>
            <w:r w:rsidRPr="00E24BFD">
              <w:rPr>
                <w:rFonts w:ascii="Amaranth" w:hAnsi="Amaranth" w:cstheme="minorHAnsi"/>
                <w:sz w:val="22"/>
                <w:szCs w:val="22"/>
              </w:rPr>
              <w:t>94,300 (澳門統計暨普查局 2008)</w:t>
            </w:r>
          </w:p>
        </w:tc>
        <w:tc>
          <w:tcPr>
            <w:tcW w:w="4927" w:type="dxa"/>
          </w:tcPr>
          <w:p w14:paraId="35B1097F" w14:textId="5BCAC162" w:rsidR="0086020A" w:rsidRDefault="00E62283">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86020A" w:rsidRDefault="0086020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86020A" w:rsidRDefault="0086020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430785C1" w14:textId="77777777" w:rsidR="0086020A" w:rsidRDefault="00E62283">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必要修法改革促成全面禁令概要</w:t>
      </w:r>
    </w:p>
    <w:p w14:paraId="2364CA4B" w14:textId="77777777" w:rsidR="0086020A" w:rsidRDefault="00E62283">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要在家中、替代照護場所、日托和懲治機構實行禁令仍有待努力。</w:t>
      </w:r>
    </w:p>
    <w:p w14:paraId="6CB1592A" w14:textId="77777777" w:rsidR="0086020A" w:rsidRDefault="00E62283">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顯然在民法和刑法中，並無針對體罰的法律保障。然而，禁止暴力和虐待的法律規定並不解釋為禁止所有體罰。近乎普遍接受在兒童教養中施行體罰的觀念，使得在法律中有所澄清成為必要：不論何種何程度的體罰都不得被視為合理或合法。</w:t>
      </w:r>
    </w:p>
    <w:p w14:paraId="6AB689C1" w14:textId="77777777" w:rsidR="0086020A" w:rsidRDefault="00E62283">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替代照護場所</w:t>
      </w:r>
      <w:r>
        <w:rPr>
          <w:rFonts w:asciiTheme="minorHAnsi" w:hAnsiTheme="minorHAnsi"/>
        </w:rPr>
        <w:t xml:space="preserve"> – 所有替代照護場所（機構、寄養照顧、安全場所、緊急照護等）應當依法實行禁令。</w:t>
      </w:r>
    </w:p>
    <w:p w14:paraId="77CFA7B9" w14:textId="77777777" w:rsidR="0086020A" w:rsidRDefault="00E62283">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日托</w:t>
      </w:r>
      <w:r>
        <w:rPr>
          <w:rFonts w:asciiTheme="minorHAnsi" w:hAnsiTheme="minorHAnsi"/>
        </w:rPr>
        <w:t xml:space="preserve"> – 所有學齡前兒童保育場所（托兒所、幼兒園、學前班、家庭中心等）和大齡兒童的全天照看（日間中心、課後托兒、托兒服務等）皆應禁止體罰。</w:t>
      </w:r>
    </w:p>
    <w:p w14:paraId="52D959C9" w14:textId="746252A6" w:rsidR="0086020A" w:rsidRDefault="00E62283">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懲治機構</w:t>
      </w:r>
      <w:r>
        <w:rPr>
          <w:rFonts w:asciiTheme="minorHAnsi" w:hAnsiTheme="minorHAnsi"/>
        </w:rPr>
        <w:t xml:space="preserve"> – 與法相左時，所有收容兒童的機構應當實行體罰禁令。</w:t>
      </w:r>
    </w:p>
    <w:p w14:paraId="53EDA8B0" w14:textId="463257B5" w:rsidR="0086020A" w:rsidRDefault="0086020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86020A" w:rsidRDefault="0086020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1"/>
    <w:p w14:paraId="21C620E3" w14:textId="0E3BEA30" w:rsidR="0086020A" w:rsidRDefault="00E62283">
      <w:pPr>
        <w:jc w:val="center"/>
      </w:pPr>
      <w:r>
        <w:br w:type="page"/>
      </w:r>
    </w:p>
    <w:p w14:paraId="033DF0A2" w14:textId="128B85B5" w:rsidR="0086020A" w:rsidRDefault="00E62283">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b/>
        </w:rPr>
        <w:lastRenderedPageBreak/>
        <w:t>注：</w:t>
      </w:r>
      <w:r>
        <w:rPr>
          <w:rFonts w:asciiTheme="minorHAnsi" w:hAnsiTheme="minorHAnsi" w:cstheme="minorHAnsi"/>
        </w:rPr>
        <w:t xml:space="preserve"> 澳門為中國的特別行政區。其法律制度與中國截然不同。</w:t>
      </w:r>
    </w:p>
    <w:p w14:paraId="7C81128D" w14:textId="77777777" w:rsidR="0086020A" w:rsidRDefault="0086020A"/>
    <w:p w14:paraId="7A722C28" w14:textId="498E8B41" w:rsidR="0086020A" w:rsidRDefault="00E6228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rPr>
      </w:pPr>
      <w:r>
        <w:rPr>
          <w:rFonts w:ascii="Amaranth" w:hAnsi="Amaranth" w:cstheme="minorHAnsi"/>
          <w:b/>
          <w:sz w:val="28"/>
        </w:rPr>
        <w:t>目前體罰的合法性</w:t>
      </w:r>
    </w:p>
    <w:p w14:paraId="7A722C29" w14:textId="6DB5BC53" w:rsidR="0086020A" w:rsidRDefault="00E62283">
      <w:pPr>
        <w:pStyle w:val="Heading3"/>
        <w:spacing w:before="0" w:after="120"/>
        <w:rPr>
          <w:rFonts w:ascii="Amaranth" w:hAnsi="Amaranth" w:cstheme="minorHAnsi"/>
          <w:sz w:val="24"/>
        </w:rPr>
      </w:pPr>
      <w:r>
        <w:rPr>
          <w:rFonts w:ascii="Amaranth" w:hAnsi="Amaranth" w:cstheme="minorHAnsi"/>
          <w:sz w:val="24"/>
        </w:rPr>
        <w:t>主頁</w:t>
      </w:r>
    </w:p>
    <w:p w14:paraId="53D44E26" w14:textId="77777777" w:rsidR="0086020A" w:rsidRDefault="00E62283">
      <w:pPr>
        <w:spacing w:after="120"/>
        <w:rPr>
          <w:rFonts w:asciiTheme="minorHAnsi" w:hAnsiTheme="minorHAnsi" w:cstheme="minorHAnsi"/>
        </w:rPr>
      </w:pPr>
      <w:r>
        <w:rPr>
          <w:rFonts w:asciiTheme="minorHAnsi" w:hAnsiTheme="minorHAnsi" w:cstheme="minorHAnsi"/>
        </w:rPr>
        <w:t>在家中施行體罰是合法的。2013年，政府向兒童權利委員會報告提到，根據1995年「刑法典」針對普通、嚴重和極度嚴重侵犯人身安全罪的規定，體罰兒童可受到懲罰（條款 137、138和139）：「只要犯罪意圖是傷害兒童的健康和人身健全」。</w:t>
      </w:r>
      <w:r>
        <w:rPr>
          <w:rStyle w:val="FootnoteReference"/>
          <w:rFonts w:asciiTheme="minorHAnsi" w:hAnsiTheme="minorHAnsi" w:cstheme="minorHAnsi"/>
        </w:rPr>
        <w:footnoteReference w:id="2"/>
      </w:r>
      <w:r>
        <w:rPr>
          <w:rFonts w:asciiTheme="minorHAnsi" w:hAnsiTheme="minorHAnsi" w:cstheme="minorHAnsi"/>
        </w:rPr>
        <w:t xml:space="preserve"> 政府還指出，「刑法典」第146條明確禁止對兒童施行任何形式的體罰。</w:t>
      </w:r>
      <w:r>
        <w:rPr>
          <w:rStyle w:val="FootnoteReference"/>
          <w:rFonts w:asciiTheme="minorHAnsi" w:hAnsiTheme="minorHAnsi" w:cstheme="minorHAnsi"/>
        </w:rPr>
        <w:footnoteReference w:id="3"/>
      </w:r>
      <w:r>
        <w:rPr>
          <w:rFonts w:asciiTheme="minorHAnsi" w:hAnsiTheme="minorHAnsi" w:cstheme="minorHAnsi"/>
        </w:rPr>
        <w:t xml:space="preserve"> 然而，此條文（2016年修訂版）並沒有明確禁止體罰：它懲罰對兒童的「身體或精神虐待或殘忍待遇」，卻沒有提到以「紀律」為名而施加的暴力。</w:t>
      </w:r>
    </w:p>
    <w:p w14:paraId="12C6E338" w14:textId="77777777" w:rsidR="0086020A" w:rsidRDefault="00E62283">
      <w:pPr>
        <w:spacing w:after="120"/>
        <w:rPr>
          <w:rFonts w:asciiTheme="minorHAnsi" w:hAnsiTheme="minorHAnsi" w:cstheme="minorHAnsi"/>
        </w:rPr>
      </w:pPr>
      <w:r>
        <w:rPr>
          <w:rFonts w:asciiTheme="minorHAnsi" w:hAnsiTheme="minorHAnsi" w:cstheme="minorHAnsi"/>
        </w:rPr>
        <w:t>1994年「家庭政策法」規定，父母有「確保、促進和指導兒童全面發展的權利和義務」（第15條）；「民法」中也有類似的規定，該規定還規定兒童必須服從父母（第1733條）。在這些法律和1995年「刑法典」中對教養兒童的體罰並沒有明確的法律保障，但是禁止暴力和虐待的法律規定並不解釋為禁止對兒童施行任何體罰。</w:t>
      </w:r>
    </w:p>
    <w:p w14:paraId="7307A5E5" w14:textId="77777777" w:rsidR="0086020A" w:rsidRDefault="00E62283">
      <w:pPr>
        <w:spacing w:after="120"/>
        <w:rPr>
          <w:rFonts w:asciiTheme="minorHAnsi" w:hAnsiTheme="minorHAnsi" w:cstheme="minorHAnsi"/>
        </w:rPr>
      </w:pPr>
      <w:r>
        <w:rPr>
          <w:rFonts w:asciiTheme="minorHAnsi" w:hAnsiTheme="minorHAnsi" w:cstheme="minorHAnsi"/>
        </w:rPr>
        <w:t>2016年「家庭暴力防治法」將家庭暴力定義為「在家庭關係或類似框架內施行的任何身體、精神或性虐待」（非官方翻譯）。它並未明確禁止所有對兒童的體罰。</w:t>
      </w:r>
    </w:p>
    <w:p w14:paraId="7A722C2D" w14:textId="77777777" w:rsidR="0086020A" w:rsidRDefault="0086020A">
      <w:pPr>
        <w:spacing w:after="120"/>
        <w:rPr>
          <w:rFonts w:asciiTheme="minorHAnsi" w:hAnsiTheme="minorHAnsi" w:cstheme="minorHAnsi"/>
          <w:b/>
        </w:rPr>
      </w:pPr>
    </w:p>
    <w:p w14:paraId="1084E424" w14:textId="594D7C6F" w:rsidR="0086020A" w:rsidRDefault="00E62283">
      <w:pPr>
        <w:pStyle w:val="Heading3"/>
        <w:spacing w:before="0" w:after="120"/>
        <w:rPr>
          <w:rFonts w:ascii="Amaranth" w:hAnsi="Amaranth" w:cstheme="minorHAnsi"/>
          <w:b w:val="0"/>
          <w:sz w:val="24"/>
        </w:rPr>
      </w:pPr>
      <w:r>
        <w:rPr>
          <w:rFonts w:ascii="Amaranth" w:hAnsi="Amaranth" w:cstheme="minorHAnsi"/>
          <w:sz w:val="24"/>
        </w:rPr>
        <w:t>替代照護場所</w:t>
      </w:r>
    </w:p>
    <w:p w14:paraId="3FF0CC26" w14:textId="77777777" w:rsidR="0086020A" w:rsidRDefault="00E62283">
      <w:pPr>
        <w:spacing w:after="120"/>
        <w:rPr>
          <w:rFonts w:asciiTheme="minorHAnsi" w:hAnsiTheme="minorHAnsi" w:cstheme="minorHAnsi"/>
        </w:rPr>
      </w:pPr>
      <w:r>
        <w:rPr>
          <w:rFonts w:asciiTheme="minorHAnsi" w:hAnsiTheme="minorHAnsi" w:cstheme="minorHAnsi"/>
        </w:rPr>
        <w:t xml:space="preserve">政府報告指出，養護機構內禁止體罰，根據 </w:t>
      </w:r>
      <w:r>
        <w:rPr>
          <w:rFonts w:asciiTheme="minorHAnsi" w:eastAsia="Calibri" w:hAnsiTheme="minorHAnsi" w:cstheme="minorHAnsi"/>
          <w:color w:val="000000"/>
        </w:rPr>
        <w:t>「兒童、青少年、老年人、殘疾人士社會設施和社會輔助活動發展設施的一般條件規定」第90/88/M號法令」第25條文：</w:t>
      </w:r>
      <w:r>
        <w:rPr>
          <w:rStyle w:val="FootnoteReference"/>
          <w:rFonts w:asciiTheme="minorHAnsi" w:eastAsia="Calibri" w:hAnsiTheme="minorHAnsi" w:cstheme="minorHAnsi"/>
          <w:color w:val="000000"/>
        </w:rPr>
        <w:footnoteReference w:id="4"/>
      </w:r>
      <w:r>
        <w:rPr>
          <w:rFonts w:asciiTheme="minorHAnsi" w:eastAsia="Calibri" w:hAnsiTheme="minorHAnsi" w:cstheme="minorHAnsi"/>
          <w:color w:val="000000"/>
        </w:rPr>
        <w:t xml:space="preserve"> 我們尚未證實此資訊。</w:t>
      </w:r>
      <w:r>
        <w:rPr>
          <w:rFonts w:asciiTheme="minorHAnsi" w:hAnsiTheme="minorHAnsi" w:cstheme="minorHAnsi"/>
        </w:rPr>
        <w:t>在替代照護場所並無明確體罰禁令，與針對父母的法令一樣是合法的（參閱「家庭」）。</w:t>
      </w:r>
    </w:p>
    <w:p w14:paraId="0CAB997A" w14:textId="77777777" w:rsidR="0086020A" w:rsidRDefault="0086020A">
      <w:pPr>
        <w:spacing w:after="120"/>
        <w:rPr>
          <w:rFonts w:asciiTheme="minorHAnsi" w:hAnsiTheme="minorHAnsi" w:cstheme="minorHAnsi"/>
        </w:rPr>
      </w:pPr>
    </w:p>
    <w:p w14:paraId="56E90498" w14:textId="3030DCF6" w:rsidR="0086020A" w:rsidRDefault="00E62283">
      <w:pPr>
        <w:pStyle w:val="Heading3"/>
        <w:spacing w:before="0" w:after="120"/>
        <w:rPr>
          <w:rFonts w:ascii="Amaranth" w:hAnsi="Amaranth" w:cstheme="minorHAnsi"/>
          <w:b w:val="0"/>
          <w:sz w:val="24"/>
        </w:rPr>
      </w:pPr>
      <w:r>
        <w:rPr>
          <w:rFonts w:ascii="Amaranth" w:hAnsi="Amaranth" w:cstheme="minorHAnsi"/>
          <w:sz w:val="24"/>
        </w:rPr>
        <w:t>日托</w:t>
      </w:r>
    </w:p>
    <w:p w14:paraId="36B41241" w14:textId="77777777" w:rsidR="0086020A" w:rsidRDefault="00E62283">
      <w:pPr>
        <w:spacing w:after="120"/>
        <w:rPr>
          <w:rFonts w:asciiTheme="minorHAnsi" w:hAnsiTheme="minorHAnsi" w:cstheme="minorHAnsi"/>
        </w:rPr>
      </w:pPr>
      <w:r>
        <w:rPr>
          <w:rFonts w:asciiTheme="minorHAnsi" w:hAnsiTheme="minorHAnsi" w:cstheme="minorHAnsi"/>
        </w:rPr>
        <w:t>在所有學齡前兒童照護場所和大齡兒童日托場所中並無明確體罰禁令。</w:t>
      </w:r>
    </w:p>
    <w:p w14:paraId="16B9FB63" w14:textId="77777777" w:rsidR="0086020A" w:rsidRDefault="0086020A">
      <w:pPr>
        <w:spacing w:after="120"/>
        <w:rPr>
          <w:rFonts w:asciiTheme="minorHAnsi" w:hAnsiTheme="minorHAnsi" w:cstheme="minorHAnsi"/>
        </w:rPr>
      </w:pPr>
    </w:p>
    <w:p w14:paraId="7A722C2E" w14:textId="77777777" w:rsidR="0086020A" w:rsidRDefault="00E62283">
      <w:pPr>
        <w:pStyle w:val="Heading3"/>
        <w:spacing w:before="0" w:after="120"/>
        <w:rPr>
          <w:rFonts w:ascii="Amaranth" w:hAnsi="Amaranth" w:cstheme="minorHAnsi"/>
          <w:b w:val="0"/>
          <w:sz w:val="24"/>
        </w:rPr>
      </w:pPr>
      <w:r>
        <w:rPr>
          <w:rFonts w:ascii="Amaranth" w:hAnsi="Amaranth" w:cstheme="minorHAnsi"/>
          <w:sz w:val="24"/>
        </w:rPr>
        <w:lastRenderedPageBreak/>
        <w:t>學校</w:t>
      </w:r>
    </w:p>
    <w:p w14:paraId="4C700446" w14:textId="77777777" w:rsidR="0086020A" w:rsidRDefault="00E62283">
      <w:pPr>
        <w:spacing w:after="120"/>
        <w:rPr>
          <w:rFonts w:asciiTheme="minorHAnsi" w:hAnsiTheme="minorHAnsi" w:cstheme="minorHAnsi"/>
        </w:rPr>
      </w:pPr>
      <w:r>
        <w:rPr>
          <w:rFonts w:asciiTheme="minorHAnsi" w:hAnsiTheme="minorHAnsi" w:cstheme="minorHAnsi"/>
        </w:rPr>
        <w:t>在學校中施行體罰是非法的，然而並不明確禁止。第46號令/SAAEJ/97 根據關於澳門教育的第11/91/M號法律，教育機構官員採用的學生紀律制度，在允許的紀律措施中不包括體罰。關於非高等教育教育制度法律框架的第9/2006號法律對此問題保持沉默，以及針對有特殊教育需求的學生教育之第33/96/M號法令和關於義務教育的第42號法令/99/M也無表態。</w:t>
      </w:r>
    </w:p>
    <w:p w14:paraId="0060C44E" w14:textId="77777777" w:rsidR="0086020A" w:rsidRDefault="00E62283">
      <w:pPr>
        <w:spacing w:after="120"/>
        <w:rPr>
          <w:rFonts w:asciiTheme="minorHAnsi" w:hAnsiTheme="minorHAnsi" w:cstheme="minorHAnsi"/>
        </w:rPr>
      </w:pPr>
      <w:r>
        <w:rPr>
          <w:rFonts w:asciiTheme="minorHAnsi" w:hAnsiTheme="minorHAnsi" w:cstheme="minorHAnsi"/>
        </w:rPr>
        <w:t>在2013年向「人權事務委員會」提交報告中，政府提請注意「學校業務手冊」，該手冊指出，「禁止可能損害學生的心理、身體和精神健康以及個人尊嚴的處罰，例如打學生、命令學生傷害自己或彼此、指派學生保持會使身體疲憊的姿勢或動作、增加家庭作業作為一種懲罰形式、命令學生抄寫學校規章或貶損的字眼、執行隔離監禁或社會隔離、言語羞辱、公開羞辱、強加無補償的罰款、剝奪身體需要等等」。但是這些只是指導原則，並非法律條文。</w:t>
      </w:r>
    </w:p>
    <w:p w14:paraId="7A722C30" w14:textId="77777777" w:rsidR="0086020A" w:rsidRDefault="0086020A">
      <w:pPr>
        <w:spacing w:after="120"/>
        <w:rPr>
          <w:rFonts w:asciiTheme="minorHAnsi" w:hAnsiTheme="minorHAnsi" w:cstheme="minorHAnsi"/>
        </w:rPr>
      </w:pPr>
    </w:p>
    <w:p w14:paraId="7A722C31" w14:textId="62D88AAA" w:rsidR="0086020A" w:rsidRDefault="00E62283">
      <w:pPr>
        <w:pStyle w:val="Heading3"/>
        <w:spacing w:before="0" w:after="120"/>
        <w:rPr>
          <w:rFonts w:ascii="Amaranth" w:hAnsi="Amaranth" w:cstheme="minorHAnsi"/>
          <w:b w:val="0"/>
          <w:sz w:val="24"/>
        </w:rPr>
      </w:pPr>
      <w:r>
        <w:rPr>
          <w:rFonts w:ascii="Amaranth" w:hAnsi="Amaranth" w:cstheme="minorHAnsi"/>
          <w:sz w:val="24"/>
        </w:rPr>
        <w:t>懲教機構</w:t>
      </w:r>
    </w:p>
    <w:p w14:paraId="4FD52B63" w14:textId="77777777" w:rsidR="0086020A" w:rsidRDefault="00E62283">
      <w:pPr>
        <w:spacing w:after="120"/>
        <w:rPr>
          <w:rFonts w:asciiTheme="minorHAnsi" w:hAnsiTheme="minorHAnsi" w:cstheme="minorHAnsi"/>
        </w:rPr>
      </w:pPr>
      <w:r>
        <w:rPr>
          <w:rFonts w:asciiTheme="minorHAnsi" w:hAnsiTheme="minorHAnsi" w:cstheme="minorHAnsi"/>
        </w:rPr>
        <w:t>在監獄中以體罰作為紀律措施似乎是非法的，但並非所有懲教機構都明確禁止體罰。根據第40/94/M號法令（「剝奪自由處分之執行制度」），在某些情況下可以對囚犯使用武力，但不得將其用作紀律措施（條文 65、66和72）。第75條列出了允許的紀律處分，不包括體罰。為青少年罪犯制定教育監護措施的第2/2007號法令提出在觀察中心、教育中心和教育培訓中心的拘留規定（條文27）。法律允許在某些狀況下使用體罰；法律未明確禁止使用體罰來作為管教措施，但是體罰並不包括在允許的管教措施內（條款 88, 93和96）。政府於2013年向兒童權利委員會報告，根據「少年犯教育和監督制度」，在青少年懲教所施行體罰是非法的：</w:t>
      </w:r>
      <w:r>
        <w:rPr>
          <w:rStyle w:val="FootnoteReference"/>
          <w:rFonts w:asciiTheme="minorHAnsi" w:hAnsiTheme="minorHAnsi" w:cstheme="minorHAnsi"/>
        </w:rPr>
        <w:footnoteReference w:id="5"/>
      </w:r>
      <w:r>
        <w:rPr>
          <w:rFonts w:asciiTheme="minorHAnsi" w:hAnsiTheme="minorHAnsi" w:cstheme="minorHAnsi"/>
        </w:rPr>
        <w:t xml:space="preserve"> 我們尚未確認是否有明確禁令。</w:t>
      </w:r>
    </w:p>
    <w:p w14:paraId="3A0D5D70" w14:textId="4748E71E" w:rsidR="0086020A" w:rsidRDefault="0086020A">
      <w:pPr>
        <w:spacing w:after="120"/>
        <w:rPr>
          <w:rFonts w:asciiTheme="minorHAnsi" w:hAnsiTheme="minorHAnsi" w:cstheme="minorHAnsi"/>
        </w:rPr>
      </w:pPr>
    </w:p>
    <w:p w14:paraId="2504E16D" w14:textId="79448A55" w:rsidR="0086020A" w:rsidRDefault="00E62283">
      <w:pPr>
        <w:pStyle w:val="Heading3"/>
        <w:spacing w:before="0" w:after="120"/>
        <w:rPr>
          <w:rFonts w:ascii="Amaranth" w:hAnsi="Amaranth" w:cstheme="minorHAnsi"/>
          <w:sz w:val="24"/>
        </w:rPr>
      </w:pPr>
      <w:r>
        <w:rPr>
          <w:rFonts w:ascii="Amaranth" w:hAnsi="Amaranth" w:cstheme="minorHAnsi"/>
          <w:sz w:val="24"/>
        </w:rPr>
        <w:t>犯罪判決</w:t>
      </w:r>
    </w:p>
    <w:p w14:paraId="0456E3ED" w14:textId="77777777" w:rsidR="0086020A" w:rsidRDefault="00E62283">
      <w:pPr>
        <w:spacing w:after="120"/>
        <w:rPr>
          <w:rFonts w:asciiTheme="minorHAnsi" w:hAnsiTheme="minorHAnsi" w:cstheme="minorHAnsi"/>
        </w:rPr>
      </w:pPr>
      <w:r>
        <w:rPr>
          <w:rFonts w:asciiTheme="minorHAnsi" w:hAnsiTheme="minorHAnsi" w:cstheme="minorHAnsi"/>
        </w:rPr>
        <w:t>以體罰作為犯罪判決是非法的。1999年少年司法制度、「刑事訴訟法」和1995年「刑法」中關於教育和社會制度的65/99/M號法令中，並沒有關於對兒童體罰的禁令。1993年「基本法」條款28禁止拷打或其他殘酷、非人道或羞辱性的對待或懲罰。</w:t>
      </w:r>
    </w:p>
    <w:p w14:paraId="2396A7DC" w14:textId="77777777" w:rsidR="0086020A" w:rsidRDefault="0086020A">
      <w:pPr>
        <w:spacing w:after="120"/>
        <w:rPr>
          <w:rFonts w:asciiTheme="minorHAnsi" w:hAnsiTheme="minorHAnsi" w:cstheme="minorHAnsi"/>
        </w:rPr>
      </w:pPr>
    </w:p>
    <w:p w14:paraId="05F1357F" w14:textId="739F4E5E" w:rsidR="0086020A" w:rsidRDefault="00E62283">
      <w:pPr>
        <w:pStyle w:val="Heading2"/>
        <w:spacing w:after="120"/>
        <w:rPr>
          <w:rFonts w:ascii="Amaranth" w:eastAsia="Calibri" w:hAnsi="Amaranth" w:cstheme="minorHAnsi"/>
          <w:sz w:val="28"/>
        </w:rPr>
      </w:pPr>
      <w:r>
        <w:rPr>
          <w:rFonts w:ascii="Amaranth" w:eastAsia="Calibri" w:hAnsi="Amaranth" w:cstheme="minorHAnsi"/>
          <w:sz w:val="28"/>
        </w:rPr>
        <w:lastRenderedPageBreak/>
        <w:t>普遍定期審議中國人權記錄</w:t>
      </w:r>
    </w:p>
    <w:p w14:paraId="5C7020DB" w14:textId="77777777" w:rsidR="0086020A" w:rsidRDefault="00E62283">
      <w:pPr>
        <w:spacing w:after="120"/>
        <w:rPr>
          <w:rFonts w:asciiTheme="minorHAnsi" w:hAnsiTheme="minorHAnsi" w:cstheme="minorHAnsi"/>
        </w:rPr>
      </w:pPr>
      <w:r>
        <w:rPr>
          <w:rFonts w:asciiTheme="minorHAnsi" w:hAnsiTheme="minorHAnsi" w:cstheme="minorHAnsi"/>
        </w:rPr>
        <w:t>中國在2009年第一輪的普遍定期審議中接受審查（第4節）。關於兒童體罰問題並未做出確切的建議。然而，當時作出了以下建議，並得到政府的接受：</w:t>
      </w:r>
      <w:r>
        <w:rPr>
          <w:rStyle w:val="FootnoteReference"/>
          <w:rFonts w:asciiTheme="minorHAnsi" w:hAnsiTheme="minorHAnsi" w:cstheme="minorHAnsi"/>
        </w:rPr>
        <w:footnoteReference w:id="6"/>
      </w:r>
    </w:p>
    <w:p w14:paraId="54A95FB4" w14:textId="77777777" w:rsidR="0086020A" w:rsidRDefault="00E62283">
      <w:pPr>
        <w:spacing w:after="120"/>
        <w:ind w:left="720"/>
        <w:rPr>
          <w:rFonts w:asciiTheme="minorHAnsi" w:hAnsiTheme="minorHAnsi" w:cstheme="minorHAnsi"/>
        </w:rPr>
      </w:pPr>
      <w:r>
        <w:rPr>
          <w:rFonts w:asciiTheme="minorHAnsi" w:hAnsiTheme="minorHAnsi" w:cstheme="minorHAnsi"/>
        </w:rPr>
        <w:t>「繼續努力：促進人權（阿曼）；在法律和司法改革、經濟發展和其他領域促進和諧社會、民主、法治和人權（越南）；</w:t>
      </w:r>
    </w:p>
    <w:p w14:paraId="00C956AF" w14:textId="77777777" w:rsidR="0086020A" w:rsidRDefault="00E62283">
      <w:pPr>
        <w:spacing w:after="120"/>
        <w:ind w:left="720"/>
        <w:rPr>
          <w:rFonts w:asciiTheme="minorHAnsi" w:hAnsiTheme="minorHAnsi" w:cstheme="minorHAnsi"/>
        </w:rPr>
      </w:pPr>
      <w:r>
        <w:rPr>
          <w:rFonts w:asciiTheme="minorHAnsi" w:hAnsiTheme="minorHAnsi" w:cstheme="minorHAnsi"/>
        </w:rPr>
        <w:t>「通過享受經濟、社會和文化權利並遵守國際準則，來持續提升人民的生活質量（尼加拉瓜）；</w:t>
      </w:r>
    </w:p>
    <w:p w14:paraId="470F2654" w14:textId="77777777" w:rsidR="0086020A" w:rsidRDefault="00E62283">
      <w:pPr>
        <w:spacing w:after="120"/>
        <w:ind w:left="720"/>
        <w:rPr>
          <w:rFonts w:asciiTheme="minorHAnsi" w:hAnsiTheme="minorHAnsi" w:cstheme="minorHAnsi"/>
        </w:rPr>
      </w:pPr>
      <w:r>
        <w:rPr>
          <w:rFonts w:asciiTheme="minorHAnsi" w:hAnsiTheme="minorHAnsi" w:cstheme="minorHAnsi"/>
        </w:rPr>
        <w:t>「通過國家經濟和社會發展計劃，來加強重視保護兒童權利（卡塔爾）」</w:t>
      </w:r>
    </w:p>
    <w:p w14:paraId="2B3E4B8B" w14:textId="77777777" w:rsidR="0086020A" w:rsidRDefault="00E62283">
      <w:pPr>
        <w:spacing w:after="120"/>
        <w:rPr>
          <w:rFonts w:asciiTheme="minorHAnsi" w:hAnsiTheme="minorHAnsi" w:cstheme="minorHAnsi"/>
        </w:rPr>
      </w:pPr>
      <w:r>
        <w:rPr>
          <w:rFonts w:asciiTheme="minorHAnsi" w:hAnsiTheme="minorHAnsi" w:cstheme="minorHAnsi"/>
        </w:rPr>
        <w:t>2013年進行了第二輪的審查（第17節）。對體罰並未作出明確建議。然而，對於體罰禁令作出了下列相關建議，並得到政府接受：</w:t>
      </w:r>
      <w:r>
        <w:rPr>
          <w:rStyle w:val="FootnoteReference"/>
          <w:rFonts w:asciiTheme="minorHAnsi" w:hAnsiTheme="minorHAnsi" w:cstheme="minorHAnsi"/>
        </w:rPr>
        <w:footnoteReference w:id="7"/>
      </w:r>
    </w:p>
    <w:p w14:paraId="0FE4EF70" w14:textId="77777777" w:rsidR="0086020A" w:rsidRDefault="00E62283">
      <w:pPr>
        <w:spacing w:after="120"/>
        <w:ind w:left="720"/>
        <w:rPr>
          <w:rFonts w:asciiTheme="minorHAnsi" w:hAnsiTheme="minorHAnsi" w:cstheme="minorHAnsi"/>
        </w:rPr>
      </w:pPr>
      <w:r>
        <w:rPr>
          <w:rFonts w:asciiTheme="minorHAnsi" w:hAnsiTheme="minorHAnsi" w:cstheme="minorHAnsi"/>
        </w:rPr>
        <w:t>「繼續對國家法律進行審查，以確保其符合國際人權法義務（土庫曼斯坦）；</w:t>
      </w:r>
    </w:p>
    <w:p w14:paraId="5CC24A4B" w14:textId="77777777" w:rsidR="0086020A" w:rsidRDefault="00E62283">
      <w:pPr>
        <w:spacing w:after="120"/>
        <w:ind w:left="720"/>
        <w:rPr>
          <w:rFonts w:asciiTheme="minorHAnsi" w:hAnsiTheme="minorHAnsi" w:cstheme="minorHAnsi"/>
        </w:rPr>
      </w:pPr>
      <w:r>
        <w:rPr>
          <w:rFonts w:asciiTheme="minorHAnsi" w:hAnsiTheme="minorHAnsi" w:cstheme="minorHAnsi"/>
        </w:rPr>
        <w:t>「繼續考量對公約機構和其他機制的檢視（肯尼亞）；</w:t>
      </w:r>
    </w:p>
    <w:p w14:paraId="24A8F856" w14:textId="77777777" w:rsidR="0086020A" w:rsidRDefault="00E62283">
      <w:pPr>
        <w:spacing w:after="120"/>
        <w:ind w:left="720"/>
        <w:rPr>
          <w:rFonts w:asciiTheme="minorHAnsi" w:hAnsiTheme="minorHAnsi" w:cstheme="minorHAnsi"/>
        </w:rPr>
      </w:pPr>
      <w:r>
        <w:rPr>
          <w:rFonts w:asciiTheme="minorHAnsi" w:hAnsiTheme="minorHAnsi" w:cstheme="minorHAnsi"/>
        </w:rPr>
        <w:t>「繼續保護兒童權利（毛里求斯）；</w:t>
      </w:r>
    </w:p>
    <w:p w14:paraId="014BD3F6" w14:textId="77777777" w:rsidR="0086020A" w:rsidRDefault="00E62283">
      <w:pPr>
        <w:spacing w:after="120"/>
        <w:ind w:left="720"/>
        <w:rPr>
          <w:rFonts w:asciiTheme="minorHAnsi" w:hAnsiTheme="minorHAnsi" w:cstheme="minorHAnsi"/>
        </w:rPr>
      </w:pPr>
      <w:r>
        <w:rPr>
          <w:rFonts w:asciiTheme="minorHAnsi" w:hAnsiTheme="minorHAnsi" w:cstheme="minorHAnsi"/>
        </w:rPr>
        <w:t>「繼續努力促進和保護兒童權利，包括採取進一步行動，禁止綁架、虐待和遺棄兒童（埃塞俄比亞）」</w:t>
      </w:r>
    </w:p>
    <w:p w14:paraId="7A722C3E" w14:textId="77777777" w:rsidR="0086020A" w:rsidRDefault="0086020A">
      <w:pPr>
        <w:spacing w:after="120"/>
        <w:rPr>
          <w:rFonts w:asciiTheme="minorHAnsi" w:hAnsiTheme="minorHAnsi" w:cstheme="minorHAnsi"/>
          <w:b/>
          <w:sz w:val="28"/>
          <w:u w:val="single"/>
        </w:rPr>
      </w:pPr>
    </w:p>
    <w:p w14:paraId="7A722C3F" w14:textId="26AF1781" w:rsidR="0086020A" w:rsidRDefault="00E62283">
      <w:pPr>
        <w:pStyle w:val="Heading2"/>
        <w:spacing w:after="120"/>
        <w:rPr>
          <w:rFonts w:ascii="Amaranth" w:hAnsi="Amaranth" w:cstheme="minorHAnsi"/>
          <w:sz w:val="28"/>
        </w:rPr>
      </w:pPr>
      <w:bookmarkStart w:id="2" w:name="_Toc197483587"/>
      <w:r>
        <w:rPr>
          <w:rFonts w:ascii="Amaranth" w:hAnsi="Amaranth" w:cstheme="minorHAnsi"/>
          <w:sz w:val="28"/>
        </w:rPr>
        <w:t>人權公約機構建議</w:t>
      </w:r>
      <w:bookmarkEnd w:id="2"/>
    </w:p>
    <w:p w14:paraId="17E97F25" w14:textId="77777777" w:rsidR="0086020A" w:rsidRDefault="00E62283">
      <w:pPr>
        <w:rPr>
          <w:rFonts w:asciiTheme="minorHAnsi" w:hAnsiTheme="minorHAnsi" w:cstheme="minorHAnsi"/>
        </w:rPr>
      </w:pPr>
      <w:r>
        <w:rPr>
          <w:rFonts w:asciiTheme="minorHAnsi" w:hAnsiTheme="minorHAnsi" w:cstheme="minorHAnsi"/>
          <w:b/>
        </w:rPr>
        <w:t>註：</w:t>
      </w:r>
      <w:r>
        <w:rPr>
          <w:rFonts w:asciiTheme="minorHAnsi" w:hAnsiTheme="minorHAnsi" w:cstheme="minorHAnsi"/>
        </w:rPr>
        <w:t xml:space="preserve"> 1999年澳門主權回歸後，中國政府通知聯合國秘書長，澳門仍將是「公民權利和政治權利國際公約」的締約國。</w:t>
      </w:r>
    </w:p>
    <w:p w14:paraId="73BF72C6" w14:textId="77777777" w:rsidR="0086020A" w:rsidRDefault="00E62283">
      <w:pPr>
        <w:rPr>
          <w:rFonts w:asciiTheme="minorHAnsi" w:hAnsiTheme="minorHAnsi" w:cstheme="minorHAnsi"/>
        </w:rPr>
      </w:pPr>
      <w:r>
        <w:rPr>
          <w:rFonts w:ascii="Calibri" w:hAnsi="Calibri" w:cs="Calibri"/>
        </w:rPr>
        <w:t>跟中國一樣，澳門也是「兒童權利公約」、「禁止酷刑和其他殘忍、不人道或有辱人格的待遇或處罰公約」、「經濟、社會、文化權利國際公約」、「消除對婦女一切歧視形式公約」和「殘疾人權利公約」的締約國。</w:t>
      </w:r>
    </w:p>
    <w:p w14:paraId="26256D62" w14:textId="77777777" w:rsidR="0086020A" w:rsidRDefault="0086020A"/>
    <w:p w14:paraId="7A722C40" w14:textId="77777777" w:rsidR="0086020A" w:rsidRDefault="00E62283">
      <w:pPr>
        <w:pStyle w:val="Heading3"/>
        <w:spacing w:before="0" w:after="120"/>
        <w:rPr>
          <w:rFonts w:ascii="Amaranth" w:hAnsi="Amaranth" w:cstheme="minorHAnsi"/>
          <w:i/>
          <w:sz w:val="24"/>
        </w:rPr>
      </w:pPr>
      <w:r>
        <w:rPr>
          <w:rFonts w:ascii="Amaranth" w:hAnsi="Amaranth" w:cstheme="minorHAnsi"/>
          <w:i/>
          <w:sz w:val="24"/>
        </w:rPr>
        <w:t>兒童權利委員會</w:t>
      </w:r>
    </w:p>
    <w:p w14:paraId="522A5AFF" w14:textId="77777777" w:rsidR="0086020A" w:rsidRDefault="00E62283">
      <w:pPr>
        <w:spacing w:after="120"/>
        <w:rPr>
          <w:rFonts w:asciiTheme="minorHAnsi" w:hAnsiTheme="minorHAnsi" w:cstheme="minorHAnsi"/>
        </w:rPr>
      </w:pPr>
      <w:r>
        <w:rPr>
          <w:rFonts w:asciiTheme="minorHAnsi" w:hAnsiTheme="minorHAnsi" w:cstheme="minorHAnsi"/>
        </w:rPr>
        <w:t>（2013年10月29日，CRC/C/CHN/CO/3-4，第3/4次總結性觀察報告，段落 6和7）</w:t>
      </w:r>
    </w:p>
    <w:p w14:paraId="3DF1DC8D" w14:textId="77777777" w:rsidR="0086020A" w:rsidRDefault="00E62283">
      <w:pPr>
        <w:spacing w:after="120"/>
        <w:rPr>
          <w:rFonts w:asciiTheme="minorHAnsi" w:hAnsiTheme="minorHAnsi" w:cstheme="minorHAnsi"/>
        </w:rPr>
      </w:pPr>
      <w:r>
        <w:rPr>
          <w:rFonts w:asciiTheme="minorHAnsi" w:hAnsiTheme="minorHAnsi" w:cstheme="minorHAnsi"/>
        </w:rPr>
        <w:lastRenderedPageBreak/>
        <w:t>「委員會歡迎締約國在執行2005年委員會的第二次定期總結觀察報告（CRC/C/CHN/CO/2）所作出的努力，但遺憾地備註其中所載的一些建議尚未得到充分處理。</w:t>
      </w:r>
    </w:p>
    <w:p w14:paraId="02A6E6FE" w14:textId="77777777" w:rsidR="0086020A" w:rsidRDefault="00E62283">
      <w:pPr>
        <w:spacing w:after="120"/>
        <w:rPr>
          <w:rFonts w:asciiTheme="minorHAnsi" w:hAnsiTheme="minorHAnsi" w:cstheme="minorHAnsi"/>
        </w:rPr>
      </w:pPr>
      <w:r>
        <w:rPr>
          <w:rFonts w:asciiTheme="minorHAnsi" w:hAnsiTheme="minorHAnsi" w:cstheme="minorHAnsi"/>
        </w:rPr>
        <w:t>「回顧以往建議，委員會建議締約國採取一切必要措施，處理尚未執行或未充分執行的建議，並敦促締約國：</w:t>
      </w:r>
    </w:p>
    <w:p w14:paraId="57F8429D" w14:textId="77777777" w:rsidR="0086020A" w:rsidRDefault="00E62283">
      <w:pPr>
        <w:spacing w:after="120"/>
        <w:rPr>
          <w:rFonts w:asciiTheme="minorHAnsi" w:hAnsiTheme="minorHAnsi" w:cstheme="minorHAnsi"/>
        </w:rPr>
      </w:pPr>
      <w:r>
        <w:rPr>
          <w:rFonts w:asciiTheme="minorHAnsi" w:hAnsiTheme="minorHAnsi" w:cstheme="minorHAnsi"/>
        </w:rPr>
        <w:t>c）法律明確禁止在家庭、學校、機構和包括刑事機構在內的其他環境中執行體罰。」</w:t>
      </w:r>
    </w:p>
    <w:p w14:paraId="27018376" w14:textId="2B6D8037" w:rsidR="0086020A" w:rsidRDefault="0086020A">
      <w:pPr>
        <w:pStyle w:val="SingleTxtG"/>
        <w:spacing w:line="240" w:lineRule="auto"/>
        <w:ind w:left="0" w:right="0"/>
        <w:jc w:val="left"/>
        <w:rPr>
          <w:rFonts w:asciiTheme="minorHAnsi" w:hAnsiTheme="minorHAnsi" w:cstheme="minorHAnsi"/>
          <w:sz w:val="24"/>
        </w:rPr>
      </w:pPr>
    </w:p>
    <w:p w14:paraId="22DC7E0C" w14:textId="5BF08631" w:rsidR="0086020A" w:rsidRDefault="0086020A">
      <w:pPr>
        <w:pStyle w:val="SingleTxtG"/>
        <w:spacing w:line="240" w:lineRule="auto"/>
        <w:ind w:left="0" w:right="0"/>
        <w:jc w:val="left"/>
        <w:rPr>
          <w:rFonts w:asciiTheme="minorHAnsi" w:hAnsiTheme="minorHAnsi" w:cstheme="minorHAnsi"/>
          <w:sz w:val="24"/>
        </w:rPr>
      </w:pPr>
    </w:p>
    <w:p w14:paraId="3558E616" w14:textId="642F7A8A" w:rsidR="0086020A" w:rsidRDefault="0086020A">
      <w:pPr>
        <w:pStyle w:val="SingleTxtG"/>
        <w:spacing w:line="240" w:lineRule="auto"/>
        <w:ind w:left="0" w:right="0"/>
        <w:jc w:val="left"/>
        <w:rPr>
          <w:rFonts w:asciiTheme="minorHAnsi" w:hAnsiTheme="minorHAnsi" w:cstheme="minorHAnsi"/>
          <w:sz w:val="24"/>
        </w:rPr>
      </w:pPr>
    </w:p>
    <w:p w14:paraId="0C7CF3FA" w14:textId="2EBE3156" w:rsidR="0086020A" w:rsidRDefault="0086020A">
      <w:pPr>
        <w:pStyle w:val="SingleTxtG"/>
        <w:spacing w:line="240" w:lineRule="auto"/>
        <w:ind w:left="0" w:right="0"/>
        <w:jc w:val="left"/>
        <w:rPr>
          <w:rFonts w:asciiTheme="minorHAnsi" w:hAnsiTheme="minorHAnsi" w:cstheme="minorHAnsi"/>
          <w:sz w:val="24"/>
        </w:rPr>
      </w:pPr>
    </w:p>
    <w:p w14:paraId="51776E22" w14:textId="77777777" w:rsidR="0086020A" w:rsidRDefault="0086020A">
      <w:pPr>
        <w:pStyle w:val="SingleTxtG"/>
        <w:spacing w:line="240" w:lineRule="auto"/>
        <w:ind w:left="0" w:right="0"/>
        <w:jc w:val="left"/>
        <w:rPr>
          <w:rFonts w:asciiTheme="minorHAnsi" w:hAnsiTheme="minorHAnsi" w:cstheme="minorHAnsi"/>
          <w:sz w:val="24"/>
        </w:rPr>
      </w:pPr>
    </w:p>
    <w:p w14:paraId="43E33B09" w14:textId="79D88E82" w:rsidR="0086020A" w:rsidRDefault="00E62283">
      <w:pPr>
        <w:pStyle w:val="SingleTxtG"/>
        <w:spacing w:line="240" w:lineRule="auto"/>
        <w:ind w:left="0" w:right="0"/>
        <w:jc w:val="left"/>
        <w:rPr>
          <w:rFonts w:ascii="Amaranth" w:hAnsi="Amaranth" w:cstheme="minorHAnsi"/>
          <w:i/>
          <w:sz w:val="24"/>
        </w:rPr>
      </w:pPr>
      <w:r>
        <w:rPr>
          <w:rFonts w:ascii="Amaranth" w:hAnsi="Amaranth" w:cstheme="minorHAnsi"/>
          <w:i/>
          <w:sz w:val="24"/>
        </w:rPr>
        <w:t>兒童權利委員會</w:t>
      </w:r>
    </w:p>
    <w:p w14:paraId="4D94FCA3" w14:textId="77777777" w:rsidR="0086020A" w:rsidRDefault="00E62283">
      <w:pPr>
        <w:autoSpaceDE w:val="0"/>
        <w:autoSpaceDN w:val="0"/>
        <w:adjustRightInd w:val="0"/>
        <w:spacing w:after="120"/>
        <w:rPr>
          <w:rFonts w:asciiTheme="minorHAnsi" w:hAnsiTheme="minorHAnsi" w:cstheme="minorHAnsi"/>
        </w:rPr>
      </w:pPr>
      <w:r>
        <w:rPr>
          <w:rFonts w:asciiTheme="minorHAnsi" w:hAnsiTheme="minorHAnsi" w:cstheme="minorHAnsi"/>
        </w:rPr>
        <w:t>（2005年11月24日, 中國第二次總結觀察報告（包括香港和澳門特別行政區） ，CRC/C/CHN/CO/2，段落 46、47和48）</w:t>
      </w:r>
    </w:p>
    <w:p w14:paraId="67ACC74A" w14:textId="77777777" w:rsidR="0086020A" w:rsidRDefault="00E62283">
      <w:pPr>
        <w:autoSpaceDE w:val="0"/>
        <w:autoSpaceDN w:val="0"/>
        <w:adjustRightInd w:val="0"/>
        <w:spacing w:after="120"/>
        <w:rPr>
          <w:rFonts w:asciiTheme="minorHAnsi" w:hAnsiTheme="minorHAnsi" w:cstheme="minorHAnsi"/>
        </w:rPr>
      </w:pPr>
      <w:r>
        <w:rPr>
          <w:rFonts w:asciiTheme="minorHAnsi" w:hAnsiTheme="minorHAnsi" w:cstheme="minorHAnsi"/>
        </w:rPr>
        <w:t>「委員會擔心，中國大陸現行禁止學校體罰的規定執行不一致。「委員會還擔心，家庭中的體罰並未被禁止，並且仍然被社會所接受。</w:t>
      </w:r>
    </w:p>
    <w:p w14:paraId="6A66460F" w14:textId="77777777" w:rsidR="0086020A" w:rsidRDefault="00E62283">
      <w:pPr>
        <w:autoSpaceDE w:val="0"/>
        <w:autoSpaceDN w:val="0"/>
        <w:adjustRightInd w:val="0"/>
        <w:spacing w:after="120"/>
        <w:rPr>
          <w:rFonts w:asciiTheme="minorHAnsi" w:hAnsiTheme="minorHAnsi" w:cstheme="minorHAnsi"/>
        </w:rPr>
      </w:pPr>
      <w:r>
        <w:rPr>
          <w:rFonts w:asciiTheme="minorHAnsi" w:hAnsiTheme="minorHAnsi" w:cstheme="minorHAnsi"/>
        </w:rPr>
        <w:t>「委員會擔心，香港和澳門特別行政區的法律並未禁止在家庭內施行體罰，體罰仍繼續在家庭中施行。</w:t>
      </w:r>
    </w:p>
    <w:p w14:paraId="709AA807" w14:textId="77777777" w:rsidR="0086020A" w:rsidRDefault="00E62283">
      <w:pPr>
        <w:autoSpaceDE w:val="0"/>
        <w:autoSpaceDN w:val="0"/>
        <w:adjustRightInd w:val="0"/>
        <w:spacing w:after="120"/>
        <w:rPr>
          <w:rFonts w:asciiTheme="minorHAnsi" w:hAnsiTheme="minorHAnsi" w:cstheme="minorHAnsi"/>
        </w:rPr>
      </w:pPr>
      <w:r>
        <w:rPr>
          <w:rFonts w:asciiTheme="minorHAnsi" w:hAnsiTheme="minorHAnsi" w:cstheme="minorHAnsi"/>
        </w:rPr>
        <w:t>「委員會敦促在其管轄的所有領域中的締約國：</w:t>
      </w:r>
    </w:p>
    <w:p w14:paraId="782D1B09" w14:textId="77777777" w:rsidR="0086020A" w:rsidRDefault="00E62283">
      <w:pPr>
        <w:autoSpaceDE w:val="0"/>
        <w:autoSpaceDN w:val="0"/>
        <w:adjustRightInd w:val="0"/>
        <w:spacing w:after="120"/>
        <w:rPr>
          <w:rFonts w:asciiTheme="minorHAnsi" w:hAnsiTheme="minorHAnsi" w:cstheme="minorHAnsi"/>
        </w:rPr>
      </w:pPr>
      <w:r>
        <w:rPr>
          <w:rFonts w:asciiTheme="minorHAnsi" w:hAnsiTheme="minorHAnsi" w:cstheme="minorHAnsi"/>
        </w:rPr>
        <w:t>a）以法律明確禁止在家庭、學校、機構和包括刑事機構在內的所有其他場所中施行體罰；</w:t>
      </w:r>
    </w:p>
    <w:p w14:paraId="75732A44" w14:textId="77777777" w:rsidR="0086020A" w:rsidRDefault="00E62283">
      <w:pPr>
        <w:autoSpaceDE w:val="0"/>
        <w:autoSpaceDN w:val="0"/>
        <w:adjustRightInd w:val="0"/>
        <w:spacing w:after="120"/>
        <w:rPr>
          <w:rFonts w:asciiTheme="minorHAnsi" w:hAnsiTheme="minorHAnsi" w:cstheme="minorHAnsi"/>
        </w:rPr>
      </w:pPr>
      <w:r>
        <w:rPr>
          <w:rFonts w:asciiTheme="minorHAnsi" w:hAnsiTheme="minorHAnsi" w:cstheme="minorHAnsi"/>
        </w:rPr>
        <w:t>b）在兒童的參與下，增辦民眾教育和提高意識的活動以了解其他非暴力的管教形式，以改變民眾對體罰的態度。」</w:t>
      </w:r>
    </w:p>
    <w:p w14:paraId="33204B07" w14:textId="77777777" w:rsidR="0086020A" w:rsidRDefault="0086020A">
      <w:pPr>
        <w:pStyle w:val="SingleTxtG"/>
        <w:spacing w:line="240" w:lineRule="auto"/>
        <w:ind w:left="0" w:right="0"/>
        <w:jc w:val="left"/>
        <w:rPr>
          <w:rFonts w:asciiTheme="minorHAnsi" w:hAnsiTheme="minorHAnsi" w:cstheme="minorHAnsi"/>
          <w:sz w:val="24"/>
        </w:rPr>
      </w:pPr>
    </w:p>
    <w:p w14:paraId="01540E00" w14:textId="77777777" w:rsidR="0086020A" w:rsidRDefault="00E62283">
      <w:pPr>
        <w:pStyle w:val="Heading2"/>
        <w:spacing w:after="120"/>
        <w:rPr>
          <w:rFonts w:ascii="Amaranth" w:hAnsi="Amaranth" w:cstheme="minorHAnsi"/>
          <w:sz w:val="28"/>
        </w:rPr>
      </w:pPr>
      <w:bookmarkStart w:id="3" w:name="_Toc197483586"/>
      <w:r>
        <w:rPr>
          <w:rFonts w:ascii="Amaranth" w:hAnsi="Amaranth" w:cstheme="minorHAnsi"/>
          <w:sz w:val="28"/>
        </w:rPr>
        <w:t>普遍性/態度研究</w:t>
      </w:r>
      <w:bookmarkEnd w:id="3"/>
      <w:r>
        <w:rPr>
          <w:rFonts w:ascii="Amaranth" w:hAnsi="Amaranth" w:cstheme="minorHAnsi"/>
          <w:sz w:val="28"/>
        </w:rPr>
        <w:t xml:space="preserve"> 在過去十年中</w:t>
      </w:r>
    </w:p>
    <w:p w14:paraId="728B711A" w14:textId="77777777" w:rsidR="0086020A" w:rsidRDefault="00E62283">
      <w:pPr>
        <w:spacing w:after="120"/>
        <w:rPr>
          <w:rFonts w:asciiTheme="minorHAnsi" w:hAnsiTheme="minorHAnsi" w:cstheme="minorHAnsi"/>
        </w:rPr>
      </w:pPr>
      <w:r>
        <w:rPr>
          <w:rFonts w:asciiTheme="minorHAnsi" w:hAnsiTheme="minorHAnsi" w:cstheme="minorHAnsi"/>
        </w:rPr>
        <w:t>未發現。</w:t>
      </w:r>
    </w:p>
    <w:p w14:paraId="54008309" w14:textId="754EFEA2" w:rsidR="0086020A" w:rsidRDefault="0086020A">
      <w:pPr>
        <w:spacing w:after="60"/>
        <w:rPr>
          <w:rFonts w:asciiTheme="minorHAnsi" w:eastAsia="Calibri" w:hAnsiTheme="minorHAnsi" w:cstheme="minorHAnsi"/>
          <w:sz w:val="20"/>
        </w:rPr>
      </w:pPr>
    </w:p>
    <w:sectPr w:rsidR="0086020A">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B3048" w14:textId="77777777" w:rsidR="00194B52" w:rsidRDefault="00194B52">
      <w:r>
        <w:separator/>
      </w:r>
    </w:p>
    <w:p w14:paraId="2AC8028A" w14:textId="77777777" w:rsidR="00194B52" w:rsidRDefault="00194B52"/>
  </w:endnote>
  <w:endnote w:type="continuationSeparator" w:id="0">
    <w:p w14:paraId="2BDA2291" w14:textId="77777777" w:rsidR="00194B52" w:rsidRDefault="00194B52">
      <w:r>
        <w:continuationSeparator/>
      </w:r>
    </w:p>
    <w:p w14:paraId="6A6CD855" w14:textId="77777777" w:rsidR="00194B52" w:rsidRDefault="00194B52"/>
  </w:endnote>
  <w:endnote w:type="continuationNotice" w:id="1">
    <w:p w14:paraId="5884D6E1" w14:textId="77777777" w:rsidR="00194B52" w:rsidRDefault="00194B52"/>
    <w:p w14:paraId="7B34483B" w14:textId="77777777" w:rsidR="00194B52" w:rsidRDefault="00194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00000001"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PMingLiU">
    <w:altName w:val="Microsoft JhengHei"/>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7BFBA881" w:rsidR="0086020A" w:rsidRDefault="00E62283">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D1665">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86020A" w:rsidRDefault="00860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AB6AF" w14:textId="77777777" w:rsidR="00194B52" w:rsidRDefault="00194B52">
      <w:r>
        <w:separator/>
      </w:r>
    </w:p>
    <w:p w14:paraId="6FEF293E" w14:textId="77777777" w:rsidR="00194B52" w:rsidRDefault="00194B52"/>
  </w:footnote>
  <w:footnote w:type="continuationSeparator" w:id="0">
    <w:p w14:paraId="4C388518" w14:textId="77777777" w:rsidR="00194B52" w:rsidRDefault="00194B52">
      <w:r>
        <w:continuationSeparator/>
      </w:r>
    </w:p>
    <w:p w14:paraId="2F56BC71" w14:textId="77777777" w:rsidR="00194B52" w:rsidRDefault="00194B52"/>
  </w:footnote>
  <w:footnote w:type="continuationNotice" w:id="1">
    <w:p w14:paraId="55E45F8A" w14:textId="77777777" w:rsidR="00194B52" w:rsidRDefault="00194B52"/>
    <w:p w14:paraId="35320222" w14:textId="77777777" w:rsidR="00194B52" w:rsidRDefault="00194B52"/>
  </w:footnote>
  <w:footnote w:id="2">
    <w:p w14:paraId="07743822" w14:textId="77777777" w:rsidR="0086020A" w:rsidRDefault="00E62283">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CRC/C/CHN-MAC/Q/2/附件1 未經編輯版，回復問題清單，Q15</w:t>
      </w:r>
    </w:p>
  </w:footnote>
  <w:footnote w:id="3">
    <w:p w14:paraId="109A203C" w14:textId="77777777" w:rsidR="0086020A" w:rsidRDefault="00E62283">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CRC/C/CHN-MAC/Q/2/附件1 未經編輯版，回復問題清單，Q15</w:t>
      </w:r>
    </w:p>
  </w:footnote>
  <w:footnote w:id="4">
    <w:p w14:paraId="13D4B56F" w14:textId="77777777" w:rsidR="0086020A" w:rsidRDefault="00E62283">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CRC/C/CHN-MAC/Q/2/附件1 未經編輯版，回復問題清單，Q15</w:t>
      </w:r>
    </w:p>
  </w:footnote>
  <w:footnote w:id="5">
    <w:p w14:paraId="3FEE61C3" w14:textId="77777777" w:rsidR="0086020A" w:rsidRDefault="00E62283">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CRC/C/CHN-MAC/Q/2/附件1 未經編輯版，回復問題清單，Q15</w:t>
      </w:r>
    </w:p>
  </w:footnote>
  <w:footnote w:id="6">
    <w:p w14:paraId="550F3A3D" w14:textId="77777777" w:rsidR="0086020A" w:rsidRDefault="00E62283">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2009年10月5日，A/HRC/11/25，工作組報告，段落 114(2)、114(3)和114(13)</w:t>
      </w:r>
    </w:p>
  </w:footnote>
  <w:footnote w:id="7">
    <w:p w14:paraId="443A2701" w14:textId="77777777" w:rsidR="0086020A" w:rsidRDefault="00E62283">
      <w:pPr>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2013年12月4日，A/HRC/25/5，工作組報告，段落 186(54)、186(64)、186(77)和186(80)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66184"/>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4B52"/>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020A"/>
    <w:rsid w:val="00862AF5"/>
    <w:rsid w:val="00864245"/>
    <w:rsid w:val="0087083D"/>
    <w:rsid w:val="00882B26"/>
    <w:rsid w:val="00883606"/>
    <w:rsid w:val="008848D4"/>
    <w:rsid w:val="008906D8"/>
    <w:rsid w:val="0089745C"/>
    <w:rsid w:val="008A12B3"/>
    <w:rsid w:val="008A612B"/>
    <w:rsid w:val="008C5580"/>
    <w:rsid w:val="008C689B"/>
    <w:rsid w:val="008D0760"/>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57AE"/>
    <w:rsid w:val="00B16C77"/>
    <w:rsid w:val="00B20083"/>
    <w:rsid w:val="00B25DA6"/>
    <w:rsid w:val="00B439AA"/>
    <w:rsid w:val="00B4688A"/>
    <w:rsid w:val="00B51875"/>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2A4C"/>
    <w:rsid w:val="00C542E5"/>
    <w:rsid w:val="00C707B9"/>
    <w:rsid w:val="00C73434"/>
    <w:rsid w:val="00C77C73"/>
    <w:rsid w:val="00CA1110"/>
    <w:rsid w:val="00CB23B9"/>
    <w:rsid w:val="00CD1665"/>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5244"/>
    <w:rsid w:val="00E10253"/>
    <w:rsid w:val="00E14849"/>
    <w:rsid w:val="00E14E7F"/>
    <w:rsid w:val="00E21A6B"/>
    <w:rsid w:val="00E24BFD"/>
    <w:rsid w:val="00E31EB8"/>
    <w:rsid w:val="00E55FFB"/>
    <w:rsid w:val="00E6083D"/>
    <w:rsid w:val="00E62283"/>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zh-H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zh-HK"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Char,ft,texto de nota al pie,Footnote reference,FA Fu,Footnote Text Char Char Char Char Char,Footnote Text Char Char Char Char,Text pozn. pod čarou_martin_ang,Schriftart: 9 pt,Schriftart: 10 pt,Schriftart: 8 pt,Char Char Char,5_G"/>
    <w:basedOn w:val="Normal"/>
    <w:link w:val="FootnoteTextChar"/>
    <w:uiPriority w:val="99"/>
    <w:rsid w:val="009F51E6"/>
    <w:rPr>
      <w:sz w:val="20"/>
      <w:szCs w:val="20"/>
      <w:lang w:eastAsia="en-GB"/>
    </w:rPr>
  </w:style>
  <w:style w:type="character" w:customStyle="1" w:styleId="FootnoteTextChar">
    <w:name w:val="Footnote Text Char"/>
    <w:aliases w:val="Char Char,ft Char,texto de nota al pie Char,Footnote reference Char,FA Fu Char,Footnote Text Char Char Char Char Char Char,Footnote Text Char Char Char Char Char1,Text pozn. pod čarou_martin_ang Char,Schriftart: 9 pt Char,5_G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E0BAD-A4FB-4D63-9A40-3B57953A3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663F8C71-C3D2-43A3-BFEB-4285B22B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2019-11-13T11:56:00Z</dcterms:created>
  <dcterms:modified xsi:type="dcterms:W3CDTF">2019-11-13T11:56:00Z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