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7C53C4" w14:paraId="444161C0" w14:textId="77777777">
        <w:tc>
          <w:tcPr>
            <w:tcW w:w="10138" w:type="dxa"/>
            <w:gridSpan w:val="2"/>
          </w:tcPr>
          <w:p w14:paraId="1A30267E" w14:textId="4A4C9AF9" w:rsidR="007C53C4" w:rsidRDefault="00D15B22">
            <w:pPr>
              <w:spacing w:before="120" w:after="240"/>
              <w:rPr>
                <w:rFonts w:ascii="Amaranth" w:hAnsi="Amaranth" w:cstheme="minorHAnsi"/>
                <w:b/>
                <w:noProof/>
                <w:color w:val="1E3250"/>
                <w:sz w:val="48"/>
              </w:rPr>
            </w:pPr>
            <w:bookmarkStart w:id="0" w:name="_Toc197484080"/>
            <w:bookmarkStart w:id="1" w:name="_GoBack"/>
            <w:bookmarkEnd w:id="1"/>
            <w:r>
              <w:rPr>
                <w:rFonts w:ascii="Amaranth" w:hAnsi="Amaranth" w:cstheme="minorHAnsi"/>
                <w:b/>
                <w:color w:val="1E3250"/>
                <w:sz w:val="50"/>
              </w:rPr>
              <w:t>台灣兒童體罰問題</w:t>
            </w:r>
          </w:p>
        </w:tc>
      </w:tr>
      <w:tr w:rsidR="007C53C4" w14:paraId="63C617FD" w14:textId="77777777">
        <w:tc>
          <w:tcPr>
            <w:tcW w:w="5211" w:type="dxa"/>
          </w:tcPr>
          <w:p w14:paraId="161E86DF" w14:textId="1A6613E0" w:rsidR="007C53C4" w:rsidRDefault="00D15B22">
            <w:pPr>
              <w:spacing w:before="240"/>
              <w:rPr>
                <w:rFonts w:ascii="Amaranth" w:hAnsi="Amaranth" w:cstheme="minorHAnsi"/>
              </w:rPr>
            </w:pPr>
            <w:bookmarkStart w:id="2" w:name="_Toc197483692"/>
            <w:r>
              <w:rPr>
                <w:rFonts w:ascii="Amaranth" w:hAnsi="Amaranth" w:cstheme="minorHAnsi"/>
              </w:rPr>
              <w:t>更新于2018年10月</w:t>
            </w:r>
          </w:p>
          <w:p w14:paraId="0AD9684F" w14:textId="77777777" w:rsidR="00702300" w:rsidRDefault="00D15B22">
            <w:pPr>
              <w:rPr>
                <w:rFonts w:ascii="Amaranth" w:hAnsi="Amaranth" w:cstheme="minorHAnsi"/>
                <w:b/>
              </w:rPr>
            </w:pPr>
            <w:r>
              <w:rPr>
                <w:rFonts w:ascii="Amaranth" w:hAnsi="Amaranth" w:cstheme="minorHAnsi"/>
              </w:rPr>
              <w:t>亦可查閱網站</w:t>
            </w:r>
            <w:r>
              <w:rPr>
                <w:rFonts w:ascii="Amaranth" w:hAnsi="Amaranth" w:cstheme="minorHAnsi"/>
                <w:b/>
              </w:rPr>
              <w:t xml:space="preserve"> </w:t>
            </w:r>
          </w:p>
          <w:p w14:paraId="0EEC5A5A" w14:textId="7210D572" w:rsidR="007C53C4" w:rsidRDefault="00D15B22">
            <w:pPr>
              <w:rPr>
                <w:rFonts w:ascii="Amaranth" w:hAnsi="Amaranth" w:cstheme="minorHAnsi"/>
                <w:color w:val="0096A3"/>
              </w:rPr>
            </w:pPr>
            <w:hyperlink r:id="rId13" w:history="1">
              <w:r>
                <w:rPr>
                  <w:rStyle w:val="Hyperlink"/>
                  <w:rFonts w:ascii="Amaranth" w:hAnsi="Amaranth" w:cstheme="minorHAnsi"/>
                  <w:color w:val="0096A3"/>
                </w:rPr>
                <w:t>www.endcorporalpunishment.org</w:t>
              </w:r>
            </w:hyperlink>
          </w:p>
          <w:p w14:paraId="0E91B4E3" w14:textId="73E9055A" w:rsidR="007C53C4" w:rsidRDefault="00D15B22">
            <w:pPr>
              <w:pStyle w:val="BodyText1"/>
              <w:tabs>
                <w:tab w:val="left" w:pos="8244"/>
                <w:tab w:val="left" w:pos="9160"/>
                <w:tab w:val="left" w:pos="10076"/>
                <w:tab w:val="left" w:pos="10992"/>
                <w:tab w:val="left" w:pos="11908"/>
                <w:tab w:val="left" w:pos="12824"/>
                <w:tab w:val="left" w:pos="13740"/>
                <w:tab w:val="left" w:pos="14656"/>
              </w:tabs>
              <w:rPr>
                <w:rFonts w:ascii="Amaranth" w:hAnsi="Amaranth" w:cstheme="minorHAnsi"/>
              </w:rPr>
            </w:pPr>
            <w:r>
              <w:rPr>
                <w:rFonts w:ascii="Amaranth" w:hAnsi="Amaranth" w:cstheme="minorHAnsi"/>
                <w:b/>
              </w:rPr>
              <w:t xml:space="preserve">兒童人口 </w:t>
            </w:r>
            <w:r>
              <w:rPr>
                <w:rFonts w:ascii="Amaranth" w:hAnsi="Amaranth" w:cstheme="minorHAnsi"/>
              </w:rPr>
              <w:t xml:space="preserve">4,043,357 </w:t>
            </w:r>
          </w:p>
          <w:p w14:paraId="73DB0DE5" w14:textId="68947583" w:rsidR="007C53C4" w:rsidRDefault="00D15B22">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rPr>
              <w:t>（內政部，2015）</w:t>
            </w:r>
            <w:r>
              <w:rPr>
                <w:rStyle w:val="FootnoteReference"/>
                <w:rFonts w:ascii="Amaranth" w:hAnsi="Amaranth"/>
              </w:rPr>
              <w:footnoteReference w:id="2"/>
            </w:r>
          </w:p>
        </w:tc>
        <w:tc>
          <w:tcPr>
            <w:tcW w:w="4927" w:type="dxa"/>
          </w:tcPr>
          <w:p w14:paraId="35B1097F" w14:textId="5BCAC162" w:rsidR="007C53C4" w:rsidRDefault="00D15B22">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4">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0D2CCAAC" w14:textId="1B7D9767" w:rsidR="007C53C4" w:rsidRDefault="007C53C4">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3C261C3D" w14:textId="77777777" w:rsidR="007C53C4" w:rsidRDefault="007C53C4">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rPr>
      </w:pPr>
    </w:p>
    <w:p w14:paraId="430785C1" w14:textId="77777777" w:rsidR="007C53C4" w:rsidRDefault="00D15B22">
      <w:pPr>
        <w:pStyle w:val="Heading1"/>
        <w:pBdr>
          <w:top w:val="single" w:sz="24" w:space="14" w:color="0096A3"/>
          <w:left w:val="single" w:sz="24" w:space="10" w:color="0096A3"/>
          <w:bottom w:val="single" w:sz="24" w:space="14" w:color="0096A3"/>
          <w:right w:val="single" w:sz="24" w:space="10" w:color="0096A3"/>
        </w:pBdr>
        <w:spacing w:before="0"/>
        <w:rPr>
          <w:rFonts w:ascii="Amaranth" w:hAnsi="Amaranth"/>
          <w:color w:val="1E3250"/>
        </w:rPr>
      </w:pPr>
      <w:r>
        <w:rPr>
          <w:rFonts w:ascii="Amaranth" w:hAnsi="Amaranth"/>
          <w:color w:val="1E3250"/>
        </w:rPr>
        <w:t>實現全面禁止的必要法律改革摘要</w:t>
      </w:r>
    </w:p>
    <w:p w14:paraId="79538830" w14:textId="77777777" w:rsidR="007C53C4" w:rsidRDefault="00D15B2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在家中、其他護理機構和日托仍然需要禁止。</w:t>
      </w:r>
    </w:p>
    <w:p w14:paraId="149C9872" w14:textId="77777777" w:rsidR="007C53C4" w:rsidRDefault="00D15B2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法律似乎沒有對“合理懲罰”或類似行為進行管理的權力，但針對暴力和虐待的法律規定並不被解釋為禁止一切體罰兒童的行為。對育兒中的體罰，近乎廣為接受的觀念為，要求法律明確規定 體罰是不可接受的。禁止育兒中的所有體罰, 包括父母施加體罰的行為。</w:t>
      </w:r>
    </w:p>
    <w:p w14:paraId="5690FC65" w14:textId="77777777" w:rsidR="007C53C4" w:rsidRDefault="00D15B2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其他護理機構</w:t>
      </w:r>
      <w:r>
        <w:rPr>
          <w:rFonts w:asciiTheme="minorHAnsi" w:hAnsiTheme="minorHAnsi"/>
        </w:rPr>
        <w:t xml:space="preserve"> -應在適用于所有其他护理環境的立法 (寄養、機構、安全場所、緊急護理等) 中頒佈禁令。</w:t>
      </w:r>
    </w:p>
    <w:p w14:paraId="52D959C9" w14:textId="433848F8" w:rsidR="007C53C4" w:rsidRDefault="00D15B2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日間護理</w:t>
      </w:r>
      <w:r>
        <w:rPr>
          <w:rFonts w:asciiTheme="minorHAnsi" w:hAnsiTheme="minorHAnsi"/>
        </w:rPr>
        <w:t xml:space="preserve"> -在所有幼兒保育 (保育院、托兒所、幼稚園、學前班、家庭中心等) 和對大齡兒童的所有日托 (日間中心、放學後兒童保育、保姆等) 中都應禁止體罰.</w:t>
      </w:r>
    </w:p>
    <w:p w14:paraId="53EDA8B0" w14:textId="463257B5" w:rsidR="007C53C4" w:rsidRDefault="007C53C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rPr>
      </w:pPr>
    </w:p>
    <w:p w14:paraId="7192EF3B" w14:textId="6C0B99AC" w:rsidR="007C53C4" w:rsidRDefault="007C53C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2"/>
    <w:p w14:paraId="21C620E3" w14:textId="0E3BEA30" w:rsidR="007C53C4" w:rsidRDefault="00D15B22">
      <w:pPr>
        <w:jc w:val="center"/>
      </w:pPr>
      <w:r>
        <w:br w:type="page"/>
      </w:r>
    </w:p>
    <w:p w14:paraId="7A722C28" w14:textId="60746E3B" w:rsidR="007C53C4" w:rsidRDefault="00D15B22">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sz w:val="28"/>
        </w:rPr>
      </w:pPr>
      <w:r>
        <w:rPr>
          <w:rFonts w:ascii="Amaranth" w:hAnsi="Amaranth"/>
          <w:b/>
          <w:sz w:val="28"/>
        </w:rPr>
        <w:lastRenderedPageBreak/>
        <w:t>目前體罰的合法性</w:t>
      </w:r>
    </w:p>
    <w:p w14:paraId="7A722C29" w14:textId="6DB5BC53" w:rsidR="007C53C4" w:rsidRDefault="00D15B22">
      <w:pPr>
        <w:pStyle w:val="Heading3"/>
        <w:spacing w:before="0" w:after="120"/>
        <w:rPr>
          <w:rFonts w:ascii="Amaranth" w:hAnsi="Amaranth"/>
        </w:rPr>
      </w:pPr>
      <w:r>
        <w:rPr>
          <w:rFonts w:ascii="Amaranth" w:hAnsi="Amaranth"/>
        </w:rPr>
        <w:t>家庭</w:t>
      </w:r>
    </w:p>
    <w:bookmarkEnd w:id="0"/>
    <w:p w14:paraId="62C14506" w14:textId="6D73212F" w:rsidR="007C53C4" w:rsidRDefault="00D15B22">
      <w:pPr>
        <w:autoSpaceDE w:val="0"/>
        <w:autoSpaceDN w:val="0"/>
        <w:adjustRightInd w:val="0"/>
        <w:spacing w:after="120"/>
        <w:rPr>
          <w:rFonts w:asciiTheme="minorHAnsi" w:eastAsiaTheme="minorHAnsi" w:hAnsiTheme="minorHAnsi"/>
        </w:rPr>
      </w:pPr>
      <w:r>
        <w:rPr>
          <w:rFonts w:asciiTheme="minorHAnsi" w:hAnsiTheme="minorHAnsi"/>
        </w:rPr>
        <w:t>在家中體罰是合法的。2012年（2015年修訂版）「兒童和青少年福利和權利保護法」保護兒童免受“身心虐待”（第49條），但不禁止所有體罰。「2011年家庭教育法」和「2011年社會教育法」均未禁止體罰。</w:t>
      </w:r>
    </w:p>
    <w:p w14:paraId="74CD0B0C" w14:textId="0F65CC33" w:rsidR="007C53C4" w:rsidRDefault="00D15B22">
      <w:pPr>
        <w:autoSpaceDE w:val="0"/>
        <w:autoSpaceDN w:val="0"/>
        <w:adjustRightInd w:val="0"/>
        <w:spacing w:after="120"/>
        <w:rPr>
          <w:rFonts w:asciiTheme="minorHAnsi" w:eastAsiaTheme="minorHAnsi" w:hAnsiTheme="minorHAnsi"/>
        </w:rPr>
      </w:pPr>
      <w:r>
        <w:rPr>
          <w:rFonts w:asciiTheme="minorHAnsi" w:eastAsiaTheme="minorHAnsi" w:hAnsiTheme="minorHAnsi"/>
        </w:rPr>
        <w:t>台灣在2014年採用「聯合國兒童權利公約」，在2016年發表有關「聯合國兒童權利公約」的首份報告，邀請國際審核委員會審核。</w:t>
      </w:r>
      <w:r>
        <w:rPr>
          <w:rStyle w:val="FootnoteReference"/>
          <w:rFonts w:asciiTheme="minorHAnsi" w:eastAsiaTheme="minorHAnsi" w:hAnsiTheme="minorHAnsi"/>
        </w:rPr>
        <w:footnoteReference w:id="3"/>
      </w:r>
      <w:r>
        <w:rPr>
          <w:rFonts w:asciiTheme="minorHAnsi" w:eastAsiaTheme="minorHAnsi" w:hAnsiTheme="minorHAnsi"/>
        </w:rPr>
        <w:t xml:space="preserve"> 首份報告指出，在學校和刑事監禁所中禁止體罰</w:t>
      </w:r>
      <w:r>
        <w:rPr>
          <w:rStyle w:val="FootnoteReference"/>
          <w:rFonts w:asciiTheme="minorHAnsi" w:eastAsiaTheme="minorHAnsi" w:hAnsiTheme="minorHAnsi"/>
        </w:rPr>
        <w:footnoteReference w:id="4"/>
      </w:r>
      <w:r>
        <w:rPr>
          <w:rFonts w:asciiTheme="minorHAnsi" w:eastAsiaTheme="minorHAnsi" w:hAnsiTheme="minorHAnsi"/>
        </w:rPr>
        <w:t xml:space="preserve"> 但未給出刑事監禁所中的禁令詳情。國際審核委員會，刊登包括2017年11年台灣首份報告的觀察報告。委員會愉快地接受台灣禁止體罰的進展，建議將禁令延伸到家庭中。進一步建議政府就此問題，舉行喚醒意識和科普的活動，包括正面管教的訊息，這將有助在學校實行禁令，採取措施提高舉報疑似暴力事件。</w:t>
      </w:r>
      <w:r>
        <w:rPr>
          <w:rStyle w:val="FootnoteReference"/>
          <w:rFonts w:asciiTheme="minorHAnsi" w:eastAsiaTheme="minorHAnsi" w:hAnsiTheme="minorHAnsi"/>
        </w:rPr>
        <w:footnoteReference w:id="5"/>
      </w:r>
    </w:p>
    <w:p w14:paraId="7F9BAFFB" w14:textId="5B2C02E7" w:rsidR="007C53C4" w:rsidRDefault="00D15B22">
      <w:pPr>
        <w:autoSpaceDE w:val="0"/>
        <w:autoSpaceDN w:val="0"/>
        <w:adjustRightInd w:val="0"/>
        <w:spacing w:after="120"/>
        <w:rPr>
          <w:rFonts w:asciiTheme="minorHAnsi" w:eastAsiaTheme="minorHAnsi" w:hAnsiTheme="minorHAnsi"/>
        </w:rPr>
      </w:pPr>
      <w:r>
        <w:rPr>
          <w:rFonts w:asciiTheme="minorHAnsi" w:eastAsiaTheme="minorHAnsi" w:hAnsiTheme="minorHAnsi"/>
        </w:rPr>
        <w:t>截止至2018年8月，政府報稱，已草擬「2019-2022兒童權利行動方案」首卷。</w:t>
      </w:r>
      <w:r>
        <w:rPr>
          <w:rFonts w:asciiTheme="minorHAnsi" w:eastAsiaTheme="minorHAnsi" w:hAnsiTheme="minorHAnsi"/>
        </w:rPr>
        <w:footnoteReference w:id="6"/>
      </w:r>
      <w:r>
        <w:rPr>
          <w:rFonts w:asciiTheme="minorHAnsi" w:eastAsiaTheme="minorHAnsi" w:hAnsiTheme="minorHAnsi"/>
        </w:rPr>
        <w:t xml:space="preserve">  </w:t>
      </w:r>
    </w:p>
    <w:p w14:paraId="2B81EA7F" w14:textId="77777777" w:rsidR="007C53C4" w:rsidRDefault="007C53C4">
      <w:pPr>
        <w:spacing w:after="120"/>
        <w:rPr>
          <w:rFonts w:asciiTheme="minorHAnsi" w:hAnsiTheme="minorHAnsi"/>
        </w:rPr>
      </w:pPr>
    </w:p>
    <w:p w14:paraId="320DD285" w14:textId="77777777" w:rsidR="007C53C4" w:rsidRDefault="00D15B22">
      <w:pPr>
        <w:pStyle w:val="Heading3"/>
        <w:spacing w:before="0" w:after="120"/>
        <w:rPr>
          <w:rFonts w:ascii="Amaranth" w:hAnsi="Amaranth"/>
        </w:rPr>
      </w:pPr>
      <w:r>
        <w:rPr>
          <w:rFonts w:ascii="Amaranth" w:hAnsi="Amaranth"/>
        </w:rPr>
        <w:t>其他護理機構</w:t>
      </w:r>
    </w:p>
    <w:p w14:paraId="5751FDA0" w14:textId="1B6491E3" w:rsidR="007C53C4" w:rsidRDefault="00D15B22">
      <w:pPr>
        <w:spacing w:after="120"/>
        <w:rPr>
          <w:rFonts w:asciiTheme="minorHAnsi" w:hAnsiTheme="minorHAnsi"/>
        </w:rPr>
      </w:pPr>
      <w:r>
        <w:rPr>
          <w:rFonts w:asciiTheme="minorHAnsi" w:hAnsiTheme="minorHAnsi"/>
        </w:rPr>
        <w:t>對其他護理機構沒有就體罰的做出明確禁令，家長在家中實行體罰是合法的。（見「家庭」） 「2012年兒童青少年福利權利保護法」第49條規定下，兒童在其他護理機構中受到法律的有限保護。</w:t>
      </w:r>
    </w:p>
    <w:p w14:paraId="7F7BBDA3" w14:textId="77777777" w:rsidR="007C53C4" w:rsidRDefault="007C53C4">
      <w:pPr>
        <w:spacing w:after="120"/>
        <w:rPr>
          <w:rFonts w:asciiTheme="minorHAnsi" w:hAnsiTheme="minorHAnsi"/>
        </w:rPr>
      </w:pPr>
    </w:p>
    <w:p w14:paraId="4927003D" w14:textId="77777777" w:rsidR="007C53C4" w:rsidRDefault="00D15B22">
      <w:pPr>
        <w:pStyle w:val="Heading3"/>
        <w:spacing w:before="0" w:after="120"/>
        <w:rPr>
          <w:rFonts w:ascii="Amaranth" w:hAnsi="Amaranth"/>
        </w:rPr>
      </w:pPr>
      <w:r>
        <w:rPr>
          <w:rFonts w:ascii="Amaranth" w:hAnsi="Amaranth"/>
        </w:rPr>
        <w:t>日托</w:t>
      </w:r>
    </w:p>
    <w:p w14:paraId="7840FEE5" w14:textId="24BF9CA1" w:rsidR="007C53C4" w:rsidRDefault="00D15B22">
      <w:pPr>
        <w:spacing w:after="120"/>
        <w:rPr>
          <w:rFonts w:asciiTheme="minorHAnsi" w:hAnsiTheme="minorHAnsi"/>
        </w:rPr>
      </w:pPr>
      <w:r>
        <w:rPr>
          <w:rFonts w:asciiTheme="minorHAnsi" w:hAnsiTheme="minorHAnsi"/>
        </w:rPr>
        <w:t>「2012年幼兒教育和護理法（2018年修訂版）」明確禁止在某些幼兒保育機構中實行體罰，包括學前班，和社區、部落和工作場所合作照看二至六歲兒童的護理機構。在其他幼兒保育和大齡兒童日托機構中，沒有明確的禁止體罰。「兒童和青少年福利法（2008年修訂版）」管制下，在其他護理機構中未禁止體罰。</w:t>
      </w:r>
    </w:p>
    <w:p w14:paraId="707F961E" w14:textId="77777777" w:rsidR="007C53C4" w:rsidRDefault="007C53C4">
      <w:pPr>
        <w:spacing w:after="120"/>
        <w:rPr>
          <w:rFonts w:asciiTheme="minorHAnsi" w:hAnsiTheme="minorHAnsi"/>
        </w:rPr>
      </w:pPr>
    </w:p>
    <w:p w14:paraId="69AEF1B6" w14:textId="77777777" w:rsidR="007C53C4" w:rsidRDefault="00D15B22">
      <w:pPr>
        <w:pStyle w:val="Heading3"/>
        <w:spacing w:before="0" w:after="120"/>
        <w:rPr>
          <w:rFonts w:ascii="Amaranth" w:hAnsi="Amaranth"/>
        </w:rPr>
      </w:pPr>
      <w:r>
        <w:rPr>
          <w:rFonts w:ascii="Amaranth" w:hAnsi="Amaranth"/>
        </w:rPr>
        <w:lastRenderedPageBreak/>
        <w:t>學校</w:t>
      </w:r>
    </w:p>
    <w:p w14:paraId="777BB3D9" w14:textId="62475CE9" w:rsidR="007C53C4" w:rsidRDefault="00D15B22">
      <w:pPr>
        <w:spacing w:after="120"/>
        <w:rPr>
          <w:rFonts w:asciiTheme="minorHAnsi" w:hAnsiTheme="minorHAnsi"/>
        </w:rPr>
      </w:pPr>
      <w:r>
        <w:rPr>
          <w:rFonts w:asciiTheme="minorHAnsi" w:hAnsiTheme="minorHAnsi"/>
        </w:rPr>
        <w:t>在「基本教育法（2006年修訂版）」第八條中規定，學校禁止體罰。此禁令適用在所有教育機構，包括公立及私立學校、幼稚園、大學和所有類型的補習班。</w:t>
      </w:r>
    </w:p>
    <w:p w14:paraId="5FAF78C7" w14:textId="77777777" w:rsidR="007C53C4" w:rsidRDefault="007C53C4">
      <w:pPr>
        <w:spacing w:after="120"/>
        <w:rPr>
          <w:rFonts w:asciiTheme="minorHAnsi" w:hAnsiTheme="minorHAnsi"/>
          <w:b/>
        </w:rPr>
      </w:pPr>
    </w:p>
    <w:p w14:paraId="69B94853" w14:textId="77777777" w:rsidR="007C53C4" w:rsidRDefault="00D15B22">
      <w:pPr>
        <w:pStyle w:val="Heading3"/>
        <w:spacing w:before="0" w:after="120"/>
        <w:rPr>
          <w:rFonts w:ascii="Amaranth" w:hAnsi="Amaranth"/>
        </w:rPr>
      </w:pPr>
      <w:r>
        <w:rPr>
          <w:rFonts w:ascii="Amaranth" w:hAnsi="Amaranth"/>
        </w:rPr>
        <w:t>刑事機構</w:t>
      </w:r>
    </w:p>
    <w:p w14:paraId="041896C9" w14:textId="65E880F0" w:rsidR="007C53C4" w:rsidRDefault="00D15B22">
      <w:pPr>
        <w:spacing w:after="120"/>
        <w:rPr>
          <w:rFonts w:asciiTheme="minorHAnsi" w:hAnsiTheme="minorHAnsi"/>
        </w:rPr>
      </w:pPr>
      <w:r>
        <w:rPr>
          <w:rFonts w:asciiTheme="minorHAnsi" w:hAnsiTheme="minorHAnsi"/>
        </w:rPr>
        <w:t>作為刑事機構的紀律措施，體罰被視為非法，但似乎沒有禁止法令的詳情。2017年政府報告中指出，「嚴格禁止在少年犯勞教機構中」實行體罰，犯事者根據「刑事部勞教機構僱員賞罰標準法」規定「承擔行政責任」。</w:t>
      </w:r>
      <w:r>
        <w:rPr>
          <w:rStyle w:val="FootnoteReference"/>
          <w:rFonts w:asciiTheme="minorHAnsi" w:hAnsiTheme="minorHAnsi"/>
        </w:rPr>
        <w:footnoteReference w:id="7"/>
      </w:r>
    </w:p>
    <w:p w14:paraId="3E5D4F72" w14:textId="77777777" w:rsidR="007C53C4" w:rsidRDefault="007C53C4">
      <w:pPr>
        <w:spacing w:after="120"/>
        <w:rPr>
          <w:rFonts w:asciiTheme="minorHAnsi" w:hAnsiTheme="minorHAnsi"/>
        </w:rPr>
      </w:pPr>
    </w:p>
    <w:p w14:paraId="1CBDAB9F" w14:textId="77777777" w:rsidR="007C53C4" w:rsidRDefault="00D15B22">
      <w:pPr>
        <w:pStyle w:val="Heading3"/>
        <w:spacing w:before="0" w:after="120"/>
        <w:rPr>
          <w:rFonts w:ascii="Amaranth" w:hAnsi="Amaranth"/>
        </w:rPr>
      </w:pPr>
      <w:r>
        <w:rPr>
          <w:rFonts w:ascii="Amaranth" w:hAnsi="Amaranth"/>
        </w:rPr>
        <w:t>罪行判刑</w:t>
      </w:r>
    </w:p>
    <w:p w14:paraId="336DB91F" w14:textId="77777777" w:rsidR="007C53C4" w:rsidRDefault="00D15B22">
      <w:pPr>
        <w:spacing w:after="120"/>
        <w:rPr>
          <w:rFonts w:asciiTheme="minorHAnsi" w:hAnsiTheme="minorHAnsi"/>
          <w:b/>
          <w:u w:val="single"/>
        </w:rPr>
      </w:pPr>
      <w:r>
        <w:rPr>
          <w:rFonts w:asciiTheme="minorHAnsi" w:hAnsiTheme="minorHAnsi"/>
        </w:rPr>
        <w:t>體罰作為刑罰是非法的。在刑法中沒有對於司法體罰禁止的條款。</w:t>
      </w:r>
    </w:p>
    <w:p w14:paraId="7A722C3E" w14:textId="77777777" w:rsidR="007C53C4" w:rsidRDefault="007C53C4">
      <w:pPr>
        <w:spacing w:after="120"/>
        <w:rPr>
          <w:rFonts w:asciiTheme="minorHAnsi" w:hAnsiTheme="minorHAnsi"/>
          <w:b/>
          <w:sz w:val="28"/>
          <w:u w:val="single"/>
        </w:rPr>
      </w:pPr>
    </w:p>
    <w:p w14:paraId="7A722C3F" w14:textId="3CD0C6EB" w:rsidR="007C53C4" w:rsidRDefault="00D15B22">
      <w:pPr>
        <w:pStyle w:val="Heading2"/>
        <w:spacing w:after="120"/>
        <w:rPr>
          <w:rFonts w:ascii="Amaranth" w:hAnsi="Amaranth"/>
          <w:sz w:val="28"/>
        </w:rPr>
      </w:pPr>
      <w:bookmarkStart w:id="3" w:name="_Toc197483587"/>
      <w:r>
        <w:rPr>
          <w:rFonts w:ascii="Amaranth" w:hAnsi="Amaranth"/>
          <w:sz w:val="28"/>
        </w:rPr>
        <w:t>人權條約機構建議</w:t>
      </w:r>
      <w:bookmarkEnd w:id="3"/>
    </w:p>
    <w:p w14:paraId="6ED20544" w14:textId="0225B706" w:rsidR="007C53C4" w:rsidRDefault="00D15B22">
      <w:pPr>
        <w:spacing w:after="120"/>
        <w:rPr>
          <w:rFonts w:asciiTheme="minorHAnsi" w:hAnsiTheme="minorHAnsi"/>
        </w:rPr>
      </w:pPr>
      <w:r>
        <w:rPr>
          <w:rFonts w:asciiTheme="minorHAnsi" w:hAnsiTheme="minorHAnsi"/>
        </w:rPr>
        <w:t xml:space="preserve">臺灣並不被國際認為是一個獨立國家，因此沒有通過「聯合國兒童權利公約批准」。作為兒童權利承諾的一部分，2017年台灣接受了 </w:t>
      </w:r>
      <w:r>
        <w:t xml:space="preserve"> </w:t>
      </w:r>
      <w:r>
        <w:rPr>
          <w:rFonts w:asciiTheme="minorHAnsi" w:eastAsiaTheme="minorHAnsi" w:hAnsiTheme="minorHAnsi"/>
        </w:rPr>
        <w:t xml:space="preserve">  一個國際審核委員會的審核，此委員會由5位獨立的國際兒童權利專家組成，專家委員專著于實行「聯合國兒童權利公約」（參見「家庭」）。</w:t>
      </w:r>
    </w:p>
    <w:p w14:paraId="33204B07" w14:textId="77777777" w:rsidR="007C53C4" w:rsidRDefault="007C53C4">
      <w:pPr>
        <w:pStyle w:val="SingleTxtG"/>
        <w:spacing w:line="240" w:lineRule="auto"/>
        <w:ind w:left="0" w:right="0"/>
        <w:jc w:val="left"/>
        <w:rPr>
          <w:rFonts w:asciiTheme="minorHAnsi" w:hAnsiTheme="minorHAnsi"/>
        </w:rPr>
      </w:pPr>
    </w:p>
    <w:p w14:paraId="01540E00" w14:textId="77777777" w:rsidR="007C53C4" w:rsidRDefault="00D15B22">
      <w:pPr>
        <w:pStyle w:val="Heading2"/>
        <w:spacing w:after="120"/>
        <w:rPr>
          <w:rFonts w:ascii="Amaranth" w:hAnsi="Amaranth"/>
          <w:sz w:val="28"/>
        </w:rPr>
      </w:pPr>
      <w:bookmarkStart w:id="4" w:name="_Toc197483586"/>
      <w:r>
        <w:rPr>
          <w:rFonts w:ascii="Amaranth" w:hAnsi="Amaranth"/>
          <w:sz w:val="28"/>
        </w:rPr>
        <w:t>過去十年間</w:t>
      </w:r>
      <w:bookmarkEnd w:id="4"/>
      <w:r>
        <w:rPr>
          <w:rFonts w:ascii="Amaranth" w:hAnsi="Amaranth"/>
          <w:sz w:val="28"/>
        </w:rPr>
        <w:t xml:space="preserve"> 風行／態度調查</w:t>
      </w:r>
    </w:p>
    <w:p w14:paraId="518DE84B" w14:textId="77777777" w:rsidR="007C53C4" w:rsidRDefault="00D15B22">
      <w:pPr>
        <w:spacing w:after="120"/>
        <w:rPr>
          <w:rFonts w:asciiTheme="minorHAnsi" w:hAnsiTheme="minorHAnsi"/>
          <w:color w:val="000000"/>
          <w:shd w:val="clear" w:color="auto" w:fill="FFFFFF"/>
        </w:rPr>
      </w:pPr>
      <w:r>
        <w:rPr>
          <w:rFonts w:asciiTheme="minorHAnsi" w:hAnsiTheme="minorHAnsi"/>
        </w:rPr>
        <w:t xml:space="preserve">臺灣兒童和家庭基金會進行的2015年 </w:t>
      </w:r>
      <w:r>
        <w:rPr>
          <w:rFonts w:asciiTheme="minorHAnsi" w:hAnsiTheme="minorHAnsi"/>
          <w:color w:val="000000"/>
          <w:shd w:val="clear" w:color="auto" w:fill="FFFFFF"/>
        </w:rPr>
        <w:t>調查發現, 57% 的臺灣父母對子女施加體罰，最常見的是拍打孩子的手掌或臀部；31% 拖拽孩子；84% 對孩子大吼大叫。該調查的信息來自869名育兒相關職業人士，包括社會工作者、學前教育者、心理咨詢師、醫療工作者和警察。幾乎所有 (93%) 的受訪者認為父母需要更多的家長教育，而73% 的人說父母因壓力和情緒不穩定而給孩子帶來負面影響。</w:t>
      </w:r>
    </w:p>
    <w:p w14:paraId="4C15641B" w14:textId="77777777" w:rsidR="007C53C4" w:rsidRDefault="00D15B22">
      <w:pPr>
        <w:spacing w:after="240"/>
        <w:jc w:val="right"/>
        <w:rPr>
          <w:rFonts w:asciiTheme="minorHAnsi" w:hAnsiTheme="minorHAnsi"/>
          <w:sz w:val="20"/>
        </w:rPr>
      </w:pPr>
      <w:r>
        <w:rPr>
          <w:rFonts w:asciiTheme="minorHAnsi" w:hAnsiTheme="minorHAnsi"/>
          <w:sz w:val="20"/>
        </w:rPr>
        <w:t>(臺灣兒童和家庭基金會 (TFCF) (2015)，</w:t>
      </w:r>
      <w:r>
        <w:rPr>
          <w:rFonts w:asciiTheme="minorHAnsi" w:hAnsiTheme="minorHAnsi"/>
          <w:i/>
          <w:iCs/>
          <w:sz w:val="20"/>
        </w:rPr>
        <w:t xml:space="preserve">父母教養的重要性－父母教养調查結果 </w:t>
      </w:r>
      <w:r>
        <w:rPr>
          <w:rFonts w:asciiTheme="minorHAnsi" w:hAnsiTheme="minorHAnsi"/>
          <w:sz w:val="20"/>
        </w:rPr>
        <w:t>，臺北，臺灣: 臺灣兒童和家庭基金會 (TFCF))</w:t>
      </w:r>
    </w:p>
    <w:p w14:paraId="6BAE37FF" w14:textId="77777777" w:rsidR="007C53C4" w:rsidRDefault="00D15B22">
      <w:pPr>
        <w:spacing w:after="120"/>
        <w:rPr>
          <w:rFonts w:asciiTheme="minorHAnsi" w:eastAsiaTheme="minorHAnsi" w:hAnsiTheme="minorHAnsi"/>
        </w:rPr>
      </w:pPr>
      <w:r>
        <w:rPr>
          <w:rFonts w:asciiTheme="minorHAnsi" w:eastAsiaTheme="minorHAnsi" w:hAnsiTheme="minorHAnsi"/>
        </w:rPr>
        <w:t>在人文教育基金會進行的2012年的調查中, 分別有1112名初中生和1112名小學生受訪，其中只有4.62% 的初中生和10.92% 的小學生稱在學校從未見過體罰。結果表明, 體罰–被定義為 「</w:t>
      </w:r>
      <w:r>
        <w:rPr>
          <w:rFonts w:asciiTheme="minorHAnsi" w:eastAsiaTheme="minorHAnsi" w:hAnsiTheme="minorHAnsi"/>
        </w:rPr>
        <w:lastRenderedPageBreak/>
        <w:t>打屁股」 和/或強迫學生站立, 保持某種姿勢或執行特定的動作 (例如強迫他們在操場上奔跑) – 被發現用於大約90% 的臺灣小學和初中。語言暴力懲罰，也很常見。</w:t>
      </w:r>
    </w:p>
    <w:p w14:paraId="15A729D3" w14:textId="77777777" w:rsidR="007C53C4" w:rsidRDefault="00D15B22">
      <w:pPr>
        <w:spacing w:after="240"/>
        <w:jc w:val="right"/>
        <w:rPr>
          <w:rFonts w:asciiTheme="minorHAnsi" w:eastAsiaTheme="minorHAnsi" w:hAnsiTheme="minorHAnsi"/>
          <w:sz w:val="20"/>
        </w:rPr>
      </w:pPr>
      <w:r>
        <w:rPr>
          <w:rFonts w:asciiTheme="minorHAnsi" w:eastAsiaTheme="minorHAnsi" w:hAnsiTheme="minorHAnsi"/>
          <w:sz w:val="20"/>
        </w:rPr>
        <w:t>(2012年11月20日</w:t>
      </w:r>
      <w:r>
        <w:rPr>
          <w:rFonts w:asciiTheme="minorHAnsi" w:eastAsiaTheme="minorHAnsi" w:hAnsiTheme="minorHAnsi"/>
          <w:i/>
          <w:iCs/>
          <w:sz w:val="20"/>
        </w:rPr>
        <w:t>臺灣焦點</w:t>
      </w:r>
      <w:r>
        <w:rPr>
          <w:rFonts w:asciiTheme="minorHAnsi" w:eastAsiaTheme="minorHAnsi" w:hAnsiTheme="minorHAnsi"/>
          <w:sz w:val="20"/>
        </w:rPr>
        <w:t xml:space="preserve"> 報導)</w:t>
      </w:r>
    </w:p>
    <w:p w14:paraId="48FC449D" w14:textId="77777777" w:rsidR="007C53C4" w:rsidRDefault="00D15B22">
      <w:pPr>
        <w:spacing w:after="60"/>
        <w:rPr>
          <w:rFonts w:asciiTheme="minorHAnsi" w:eastAsiaTheme="minorHAnsi" w:hAnsiTheme="minorHAnsi"/>
        </w:rPr>
      </w:pPr>
      <w:r>
        <w:rPr>
          <w:rFonts w:asciiTheme="minorHAnsi" w:eastAsiaTheme="minorHAnsi" w:hAnsiTheme="minorHAnsi"/>
        </w:rPr>
        <w:t>在2011年的民意調查中, 22個城市和縣村的學校的2000名收訪學生, 近30% 的初中學生和20% 的小學生經受過體罰；儘管，學校已在2006年實施禁止體罰；20% 的學生受到老師的辱駡或威脅。</w:t>
      </w:r>
    </w:p>
    <w:p w14:paraId="10E12762" w14:textId="77777777" w:rsidR="007C53C4" w:rsidRDefault="00D15B22">
      <w:pPr>
        <w:spacing w:after="240"/>
        <w:jc w:val="right"/>
        <w:rPr>
          <w:rFonts w:asciiTheme="minorHAnsi" w:eastAsiaTheme="minorHAnsi" w:hAnsiTheme="minorHAnsi"/>
          <w:sz w:val="20"/>
        </w:rPr>
      </w:pPr>
      <w:r>
        <w:rPr>
          <w:rFonts w:asciiTheme="minorHAnsi" w:eastAsiaTheme="minorHAnsi" w:hAnsiTheme="minorHAnsi"/>
          <w:sz w:val="20"/>
        </w:rPr>
        <w:t xml:space="preserve">( 「法律禁令未停止體罰: 民意調查」, </w:t>
      </w:r>
      <w:r>
        <w:rPr>
          <w:rFonts w:asciiTheme="minorHAnsi" w:eastAsiaTheme="minorHAnsi" w:hAnsiTheme="minorHAnsi"/>
          <w:i/>
          <w:iCs/>
          <w:sz w:val="20"/>
        </w:rPr>
        <w:t xml:space="preserve">臺北時報, </w:t>
      </w:r>
      <w:r>
        <w:rPr>
          <w:rFonts w:asciiTheme="minorHAnsi" w:eastAsiaTheme="minorHAnsi" w:hAnsiTheme="minorHAnsi"/>
          <w:sz w:val="20"/>
        </w:rPr>
        <w:t>2011年8月10日報導)</w:t>
      </w:r>
    </w:p>
    <w:p w14:paraId="28B0A71B" w14:textId="77777777" w:rsidR="007C53C4" w:rsidRDefault="00D15B22">
      <w:pPr>
        <w:spacing w:after="60"/>
        <w:rPr>
          <w:rFonts w:asciiTheme="minorHAnsi" w:eastAsiaTheme="minorHAnsi" w:hAnsiTheme="minorHAnsi"/>
        </w:rPr>
      </w:pPr>
      <w:r>
        <w:rPr>
          <w:rFonts w:asciiTheme="minorHAnsi" w:eastAsiaTheme="minorHAnsi" w:hAnsiTheme="minorHAnsi"/>
        </w:rPr>
        <w:t>政府的研究顯示, 自從2006年12月禁止以來, 學校的體罰發生率下降了。每兩個月進行的初中學生調查顯示, 學生的體罰從2006年的42.5% 下降到2007年的 29.2%, 2008年前兩個月達到 15.8% (較2007年的前兩個月27.7%)。</w:t>
      </w:r>
    </w:p>
    <w:p w14:paraId="1C077BBF" w14:textId="77777777" w:rsidR="007C53C4" w:rsidRDefault="00D15B22">
      <w:pPr>
        <w:spacing w:after="240"/>
        <w:jc w:val="right"/>
        <w:rPr>
          <w:rFonts w:asciiTheme="minorHAnsi" w:eastAsiaTheme="minorHAnsi" w:hAnsiTheme="minorHAnsi"/>
          <w:sz w:val="20"/>
        </w:rPr>
      </w:pPr>
      <w:r>
        <w:rPr>
          <w:rFonts w:asciiTheme="minorHAnsi" w:eastAsiaTheme="minorHAnsi" w:hAnsiTheme="minorHAnsi"/>
          <w:sz w:val="20"/>
        </w:rPr>
        <w:t xml:space="preserve">(2008年4月25日 </w:t>
      </w:r>
      <w:r>
        <w:rPr>
          <w:rFonts w:asciiTheme="minorHAnsi" w:eastAsiaTheme="minorHAnsi" w:hAnsiTheme="minorHAnsi"/>
          <w:i/>
          <w:iCs/>
          <w:sz w:val="20"/>
        </w:rPr>
        <w:t>中國郵報，</w:t>
      </w:r>
      <w:r>
        <w:rPr>
          <w:rFonts w:asciiTheme="minorHAnsi" w:eastAsiaTheme="minorHAnsi" w:hAnsiTheme="minorHAnsi"/>
          <w:sz w:val="20"/>
        </w:rPr>
        <w:t>報導)</w:t>
      </w:r>
    </w:p>
    <w:p w14:paraId="6623060E" w14:textId="77777777" w:rsidR="007C53C4" w:rsidRDefault="00D15B22">
      <w:pPr>
        <w:spacing w:after="60"/>
        <w:rPr>
          <w:rFonts w:asciiTheme="minorHAnsi" w:eastAsiaTheme="minorHAnsi" w:hAnsiTheme="minorHAnsi"/>
        </w:rPr>
      </w:pPr>
      <w:r>
        <w:rPr>
          <w:rFonts w:asciiTheme="minorHAnsi" w:eastAsiaTheme="minorHAnsi" w:hAnsiTheme="minorHAnsi"/>
        </w:rPr>
        <w:t xml:space="preserve">在2007年4月和5月人文教育基金會的全國性調查中，2779名中小學生受訪, 超過52.8% 的受訪者報告接受過體罰, 較2005年的64% 有所下降。體罰類型也有所變化－毆打學生從2005年的51 % 下降至2007年的27.3% ，但是 </w:t>
      </w:r>
      <w:r>
        <w:rPr>
          <w:rFonts w:asciiTheme="minorHAnsi" w:eastAsiaTheme="minorHAnsi" w:hAnsiTheme="minorHAnsi"/>
          <w:i/>
          <w:iCs/>
        </w:rPr>
        <w:t>罰站</w:t>
      </w:r>
      <w:r>
        <w:rPr>
          <w:rFonts w:asciiTheme="minorHAnsi" w:eastAsiaTheme="minorHAnsi" w:hAnsiTheme="minorHAnsi"/>
        </w:rPr>
        <w:t xml:space="preserve"> （站立壹段時間）從2005年的9.7 % 增加至2007年的35% 。</w:t>
      </w:r>
    </w:p>
    <w:p w14:paraId="68AC45B6" w14:textId="77777777" w:rsidR="007C53C4" w:rsidRDefault="00D15B22">
      <w:pPr>
        <w:spacing w:after="240"/>
        <w:jc w:val="right"/>
        <w:rPr>
          <w:rFonts w:asciiTheme="minorHAnsi" w:eastAsiaTheme="minorHAnsi" w:hAnsiTheme="minorHAnsi"/>
          <w:sz w:val="20"/>
        </w:rPr>
      </w:pPr>
      <w:r>
        <w:rPr>
          <w:rFonts w:asciiTheme="minorHAnsi" w:eastAsiaTheme="minorHAnsi" w:hAnsiTheme="minorHAnsi"/>
          <w:sz w:val="20"/>
        </w:rPr>
        <w:t xml:space="preserve">（ </w:t>
      </w:r>
      <w:r>
        <w:rPr>
          <w:rFonts w:asciiTheme="minorHAnsi" w:eastAsiaTheme="minorHAnsi" w:hAnsiTheme="minorHAnsi"/>
          <w:i/>
          <w:iCs/>
          <w:sz w:val="20"/>
        </w:rPr>
        <w:t>台北時報</w:t>
      </w:r>
      <w:r>
        <w:rPr>
          <w:rFonts w:asciiTheme="minorHAnsi" w:eastAsiaTheme="minorHAnsi" w:hAnsiTheme="minorHAnsi"/>
          <w:sz w:val="20"/>
        </w:rPr>
        <w:t>，2007年6月4日報導）</w:t>
      </w:r>
    </w:p>
    <w:p w14:paraId="33FB5646" w14:textId="77777777" w:rsidR="007C53C4" w:rsidRDefault="00D15B22">
      <w:pPr>
        <w:spacing w:after="60"/>
        <w:rPr>
          <w:rFonts w:asciiTheme="minorHAnsi" w:eastAsiaTheme="minorHAnsi" w:hAnsiTheme="minorHAnsi"/>
        </w:rPr>
      </w:pPr>
      <w:r>
        <w:rPr>
          <w:rFonts w:asciiTheme="minorHAnsi" w:eastAsiaTheme="minorHAnsi" w:hAnsiTheme="minorHAnsi"/>
        </w:rPr>
        <w:t>2007年1月，</w:t>
      </w:r>
      <w:r>
        <w:rPr>
          <w:rFonts w:asciiTheme="minorHAnsi" w:eastAsiaTheme="minorHAnsi" w:hAnsiTheme="minorHAnsi"/>
          <w:vertAlign w:val="superscript"/>
        </w:rPr>
        <w:t>21世紀教育聯合會於2006年秋季主持的由5630名中小學生參與討論的調查結果發表，顯示30%的教師認為體罰在改善學業成績、學習技巧及學生性格方面是恰當且必須的；60%的教師認為教育工作者應繼續使用武力作為管理手段，儘管法律禁止；69%的教師認為分享討論積極管理法的網酪論壇會促進遠離體罰。</w:t>
      </w:r>
    </w:p>
    <w:p w14:paraId="4C297845" w14:textId="77777777" w:rsidR="007C53C4" w:rsidRDefault="00D15B22">
      <w:pPr>
        <w:spacing w:after="240"/>
        <w:jc w:val="right"/>
        <w:rPr>
          <w:rFonts w:asciiTheme="minorHAnsi" w:eastAsiaTheme="minorHAnsi" w:hAnsiTheme="minorHAnsi"/>
          <w:sz w:val="20"/>
        </w:rPr>
      </w:pPr>
      <w:r>
        <w:rPr>
          <w:rFonts w:asciiTheme="minorHAnsi" w:eastAsiaTheme="minorHAnsi" w:hAnsiTheme="minorHAnsi"/>
          <w:sz w:val="20"/>
        </w:rPr>
        <w:t xml:space="preserve">（2007年1月19日 </w:t>
      </w:r>
      <w:r>
        <w:rPr>
          <w:rFonts w:asciiTheme="minorHAnsi" w:eastAsiaTheme="minorHAnsi" w:hAnsiTheme="minorHAnsi"/>
          <w:i/>
          <w:iCs/>
          <w:sz w:val="20"/>
        </w:rPr>
        <w:t>「中国邮报」</w:t>
      </w:r>
      <w:r>
        <w:rPr>
          <w:rFonts w:asciiTheme="minorHAnsi" w:eastAsiaTheme="minorHAnsi" w:hAnsiTheme="minorHAnsi"/>
          <w:sz w:val="20"/>
        </w:rPr>
        <w:t>報導）</w:t>
      </w:r>
    </w:p>
    <w:p w14:paraId="54008309" w14:textId="39629D1D" w:rsidR="007C53C4" w:rsidRDefault="007C53C4">
      <w:pPr>
        <w:spacing w:after="60"/>
        <w:rPr>
          <w:rFonts w:asciiTheme="minorHAnsi" w:eastAsia="Calibri" w:hAnsiTheme="minorHAnsi"/>
          <w:sz w:val="20"/>
        </w:rPr>
      </w:pPr>
    </w:p>
    <w:sectPr w:rsidR="007C53C4">
      <w:headerReference w:type="default" r:id="rId15"/>
      <w:footerReference w:type="default" r:id="rId16"/>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D8BC" w14:textId="77777777" w:rsidR="00B244C1" w:rsidRDefault="00B244C1">
      <w:r>
        <w:separator/>
      </w:r>
    </w:p>
    <w:p w14:paraId="6DF58241" w14:textId="77777777" w:rsidR="00B244C1" w:rsidRDefault="00B244C1"/>
  </w:endnote>
  <w:endnote w:type="continuationSeparator" w:id="0">
    <w:p w14:paraId="65F22D6A" w14:textId="77777777" w:rsidR="00B244C1" w:rsidRDefault="00B244C1">
      <w:r>
        <w:continuationSeparator/>
      </w:r>
    </w:p>
    <w:p w14:paraId="16C52562" w14:textId="77777777" w:rsidR="00B244C1" w:rsidRDefault="00B244C1"/>
  </w:endnote>
  <w:endnote w:type="continuationNotice" w:id="1">
    <w:p w14:paraId="1098895C" w14:textId="77777777" w:rsidR="00B244C1" w:rsidRDefault="00B244C1"/>
    <w:p w14:paraId="46DA39BB" w14:textId="77777777" w:rsidR="00B244C1" w:rsidRDefault="00B2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sz w:val="22"/>
      </w:rPr>
    </w:sdtEndPr>
    <w:sdtContent>
      <w:p w14:paraId="4B4E74F5" w14:textId="16960176" w:rsidR="007C53C4" w:rsidRDefault="00D15B22">
        <w:pPr>
          <w:pStyle w:val="Footer"/>
          <w:jc w:val="right"/>
          <w:rPr>
            <w:rFonts w:asciiTheme="minorHAnsi" w:hAnsiTheme="minorHAnsi"/>
            <w:sz w:val="22"/>
          </w:rPr>
        </w:pPr>
        <w:r w:rsidRPr="00F346A7">
          <w:rPr>
            <w:rFonts w:asciiTheme="minorHAnsi" w:hAnsiTheme="minorHAnsi"/>
            <w:sz w:val="22"/>
          </w:rPr>
          <w:fldChar w:fldCharType="begin"/>
        </w:r>
        <w:r w:rsidRPr="00A515CB">
          <w:rPr>
            <w:rFonts w:asciiTheme="minorHAnsi" w:hAnsiTheme="minorHAnsi" w:cstheme="minorHAnsi"/>
            <w:sz w:val="22"/>
            <w:szCs w:val="20"/>
          </w:rPr>
          <w:instrText xml:space="preserve"> PAGE   \* MERGEFORMAT </w:instrText>
        </w:r>
        <w:r w:rsidRPr="00F346A7">
          <w:rPr>
            <w:rFonts w:asciiTheme="minorHAnsi" w:hAnsiTheme="minorHAnsi"/>
            <w:sz w:val="22"/>
          </w:rPr>
          <w:fldChar w:fldCharType="separate"/>
        </w:r>
        <w:r w:rsidR="00625456">
          <w:rPr>
            <w:rFonts w:asciiTheme="minorHAnsi" w:hAnsiTheme="minorHAnsi" w:cstheme="minorHAnsi"/>
            <w:noProof/>
            <w:sz w:val="22"/>
            <w:szCs w:val="20"/>
          </w:rPr>
          <w:t>1</w:t>
        </w:r>
        <w:r w:rsidRPr="00F346A7">
          <w:rPr>
            <w:rFonts w:asciiTheme="minorHAnsi" w:hAnsiTheme="minorHAnsi"/>
            <w:sz w:val="22"/>
          </w:rPr>
          <w:fldChar w:fldCharType="end"/>
        </w:r>
      </w:p>
    </w:sdtContent>
  </w:sdt>
  <w:p w14:paraId="7BE2344C" w14:textId="77777777" w:rsidR="007C53C4" w:rsidRDefault="007C53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C0721" w14:textId="77777777" w:rsidR="00B244C1" w:rsidRDefault="00B244C1">
      <w:r>
        <w:separator/>
      </w:r>
    </w:p>
    <w:p w14:paraId="464A5089" w14:textId="77777777" w:rsidR="00B244C1" w:rsidRDefault="00B244C1"/>
  </w:footnote>
  <w:footnote w:type="continuationSeparator" w:id="0">
    <w:p w14:paraId="255E7E83" w14:textId="77777777" w:rsidR="00B244C1" w:rsidRDefault="00B244C1">
      <w:r>
        <w:continuationSeparator/>
      </w:r>
    </w:p>
    <w:p w14:paraId="35283CB6" w14:textId="77777777" w:rsidR="00B244C1" w:rsidRDefault="00B244C1"/>
  </w:footnote>
  <w:footnote w:type="continuationNotice" w:id="1">
    <w:p w14:paraId="1E7C1322" w14:textId="77777777" w:rsidR="00B244C1" w:rsidRDefault="00B244C1"/>
    <w:p w14:paraId="18F6B5FA" w14:textId="77777777" w:rsidR="00B244C1" w:rsidRDefault="00B244C1"/>
  </w:footnote>
  <w:footnote w:id="2">
    <w:p w14:paraId="226D07D2" w14:textId="55770770" w:rsidR="007C53C4" w:rsidRDefault="00D15B2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2016年，兒童和青少年福利促進團 </w:t>
      </w:r>
      <w:r>
        <w:rPr>
          <w:rFonts w:asciiTheme="minorHAnsi" w:hAnsiTheme="minorHAnsi" w:cstheme="minorHAnsi"/>
          <w:i/>
        </w:rPr>
        <w:t>追加遞交審核委員會的實行「聯合國兒童權利公約」首個報告。</w:t>
      </w:r>
    </w:p>
  </w:footnote>
  <w:footnote w:id="3">
    <w:p w14:paraId="3AA48C5C" w14:textId="49C835A8" w:rsidR="007C53C4" w:rsidRDefault="00D15B2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全部信息網上供閱 </w:t>
      </w:r>
      <w:hyperlink r:id="rId1" w:history="1">
        <w:r>
          <w:rPr>
            <w:rStyle w:val="Hyperlink"/>
            <w:rFonts w:asciiTheme="minorHAnsi" w:hAnsiTheme="minorHAnsi" w:cstheme="minorHAnsi"/>
          </w:rPr>
          <w:t>https://crc.sfaa.gov.tw/crc_front/index.php?action=classification&amp;uuid=189170dc-3561-46df-8746-7824b7f30554</w:t>
        </w:r>
      </w:hyperlink>
      <w:r>
        <w:rPr>
          <w:rFonts w:asciiTheme="minorHAnsi" w:hAnsiTheme="minorHAnsi" w:cstheme="minorHAnsi"/>
        </w:rPr>
        <w:t xml:space="preserve"> </w:t>
      </w:r>
    </w:p>
  </w:footnote>
  <w:footnote w:id="4">
    <w:p w14:paraId="4F603F75" w14:textId="0B2079B4" w:rsidR="007C53C4" w:rsidRDefault="00D15B2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2016年，兒童和青少年福利促進團 </w:t>
      </w:r>
      <w:r>
        <w:rPr>
          <w:rFonts w:asciiTheme="minorHAnsi" w:hAnsiTheme="minorHAnsi" w:cstheme="minorHAnsi"/>
          <w:i/>
        </w:rPr>
        <w:t>追加遞交審核委員會的實行「聯合國兒童權利公約」首個報告</w:t>
      </w:r>
      <w:r>
        <w:rPr>
          <w:rFonts w:asciiTheme="minorHAnsi" w:hAnsiTheme="minorHAnsi" w:cstheme="minorHAnsi"/>
        </w:rPr>
        <w:t>，段落 133和136</w:t>
      </w:r>
    </w:p>
  </w:footnote>
  <w:footnote w:id="5">
    <w:p w14:paraId="1C9D6249" w14:textId="0F5C1997" w:rsidR="007C53C4" w:rsidRDefault="00D15B2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2017年11月，國際審核委員會，對實行「聯合國兒童權利公約」首個報告的觀察報告，段落 52, 56, 57和81</w:t>
      </w:r>
    </w:p>
  </w:footnote>
  <w:footnote w:id="6">
    <w:p w14:paraId="18D1E0FB" w14:textId="368D19CD" w:rsidR="007C53C4" w:rsidRDefault="00D15B22">
      <w:pPr>
        <w:pStyle w:val="FootnoteText"/>
        <w:rPr>
          <w:rFonts w:asciiTheme="minorHAnsi" w:hAnsiTheme="minorHAnsi" w:cstheme="minorHAnsi"/>
          <w:sz w:val="16"/>
        </w:rPr>
      </w:pPr>
      <w:r>
        <w:rPr>
          <w:rStyle w:val="FootnoteReference"/>
          <w:rFonts w:asciiTheme="minorHAnsi" w:hAnsiTheme="minorHAnsi" w:cstheme="minorHAnsi"/>
        </w:rPr>
        <w:footnoteRef/>
      </w:r>
      <w:r>
        <w:rPr>
          <w:rFonts w:asciiTheme="minorHAnsi" w:hAnsiTheme="minorHAnsi" w:cstheme="minorHAnsi"/>
        </w:rPr>
        <w:t xml:space="preserve"> 信息提供來自全球倡議，2018年8月</w:t>
      </w:r>
      <w:r>
        <w:rPr>
          <w:rFonts w:asciiTheme="minorHAnsi" w:hAnsiTheme="minorHAnsi" w:cstheme="minorHAnsi"/>
          <w:sz w:val="16"/>
        </w:rPr>
        <w:t xml:space="preserve"> </w:t>
      </w:r>
    </w:p>
  </w:footnote>
  <w:footnote w:id="7">
    <w:p w14:paraId="357C5AC8" w14:textId="1108C5D2" w:rsidR="007C53C4" w:rsidRDefault="00D15B2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2017年9月，台灣就首個報告中一系列問題的書面回複，段落 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8293" w14:textId="77777777" w:rsidR="007C53C4" w:rsidRDefault="007C53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4039E"/>
    <w:rsid w:val="00056521"/>
    <w:rsid w:val="00060435"/>
    <w:rsid w:val="0006556F"/>
    <w:rsid w:val="000718E0"/>
    <w:rsid w:val="00082DC2"/>
    <w:rsid w:val="000842F5"/>
    <w:rsid w:val="00084511"/>
    <w:rsid w:val="00086F18"/>
    <w:rsid w:val="000B0A8C"/>
    <w:rsid w:val="000B2F36"/>
    <w:rsid w:val="000B66F9"/>
    <w:rsid w:val="000B7BA4"/>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16901"/>
    <w:rsid w:val="00222FAB"/>
    <w:rsid w:val="00226452"/>
    <w:rsid w:val="00226A92"/>
    <w:rsid w:val="00231F5D"/>
    <w:rsid w:val="00234040"/>
    <w:rsid w:val="00240EA1"/>
    <w:rsid w:val="00260954"/>
    <w:rsid w:val="00271923"/>
    <w:rsid w:val="0027197B"/>
    <w:rsid w:val="002834F2"/>
    <w:rsid w:val="00283D0A"/>
    <w:rsid w:val="00284A40"/>
    <w:rsid w:val="00284BD8"/>
    <w:rsid w:val="00294582"/>
    <w:rsid w:val="00294AEE"/>
    <w:rsid w:val="002A0B7F"/>
    <w:rsid w:val="002A51B6"/>
    <w:rsid w:val="002A65FA"/>
    <w:rsid w:val="002B4939"/>
    <w:rsid w:val="002B6384"/>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74E91"/>
    <w:rsid w:val="00375204"/>
    <w:rsid w:val="0038447B"/>
    <w:rsid w:val="0038593B"/>
    <w:rsid w:val="00386A5F"/>
    <w:rsid w:val="00391C47"/>
    <w:rsid w:val="00393250"/>
    <w:rsid w:val="003A0232"/>
    <w:rsid w:val="003A1B48"/>
    <w:rsid w:val="003A496E"/>
    <w:rsid w:val="003A67D6"/>
    <w:rsid w:val="003B2F25"/>
    <w:rsid w:val="003B5F8C"/>
    <w:rsid w:val="003C129D"/>
    <w:rsid w:val="003D2E36"/>
    <w:rsid w:val="003D2F63"/>
    <w:rsid w:val="003F0753"/>
    <w:rsid w:val="003F505A"/>
    <w:rsid w:val="003F72BA"/>
    <w:rsid w:val="004215AF"/>
    <w:rsid w:val="00464D72"/>
    <w:rsid w:val="004671DD"/>
    <w:rsid w:val="00493445"/>
    <w:rsid w:val="004A62CE"/>
    <w:rsid w:val="004B5E0A"/>
    <w:rsid w:val="004C3DA7"/>
    <w:rsid w:val="004C4932"/>
    <w:rsid w:val="004D3E02"/>
    <w:rsid w:val="004D3FD8"/>
    <w:rsid w:val="004D6AF5"/>
    <w:rsid w:val="004E2E39"/>
    <w:rsid w:val="004E7AC7"/>
    <w:rsid w:val="004F050F"/>
    <w:rsid w:val="004F148E"/>
    <w:rsid w:val="004F7212"/>
    <w:rsid w:val="005015FA"/>
    <w:rsid w:val="00511F68"/>
    <w:rsid w:val="0051748B"/>
    <w:rsid w:val="005269A3"/>
    <w:rsid w:val="00535471"/>
    <w:rsid w:val="005354D3"/>
    <w:rsid w:val="00551E97"/>
    <w:rsid w:val="00560E4F"/>
    <w:rsid w:val="00565B6E"/>
    <w:rsid w:val="00565FA6"/>
    <w:rsid w:val="00570B3A"/>
    <w:rsid w:val="005828FC"/>
    <w:rsid w:val="00591C56"/>
    <w:rsid w:val="005920BB"/>
    <w:rsid w:val="005A10E7"/>
    <w:rsid w:val="005A6865"/>
    <w:rsid w:val="005B7F97"/>
    <w:rsid w:val="005C7728"/>
    <w:rsid w:val="005D04BC"/>
    <w:rsid w:val="005D1A9D"/>
    <w:rsid w:val="005D2B0F"/>
    <w:rsid w:val="005D367F"/>
    <w:rsid w:val="005D7900"/>
    <w:rsid w:val="005E19BB"/>
    <w:rsid w:val="005E6715"/>
    <w:rsid w:val="005E6E59"/>
    <w:rsid w:val="005F0BD7"/>
    <w:rsid w:val="005F1FFE"/>
    <w:rsid w:val="005F3119"/>
    <w:rsid w:val="0060457A"/>
    <w:rsid w:val="0061002E"/>
    <w:rsid w:val="006229EB"/>
    <w:rsid w:val="00625456"/>
    <w:rsid w:val="0064323B"/>
    <w:rsid w:val="00643370"/>
    <w:rsid w:val="0064396A"/>
    <w:rsid w:val="00647525"/>
    <w:rsid w:val="00653261"/>
    <w:rsid w:val="00653404"/>
    <w:rsid w:val="00653E25"/>
    <w:rsid w:val="006552F2"/>
    <w:rsid w:val="00657C16"/>
    <w:rsid w:val="00662733"/>
    <w:rsid w:val="00663891"/>
    <w:rsid w:val="00667B6E"/>
    <w:rsid w:val="00670CE7"/>
    <w:rsid w:val="00672C65"/>
    <w:rsid w:val="00674645"/>
    <w:rsid w:val="006825A3"/>
    <w:rsid w:val="00682E39"/>
    <w:rsid w:val="006929A1"/>
    <w:rsid w:val="006A1C2C"/>
    <w:rsid w:val="006C2E7A"/>
    <w:rsid w:val="006C7D0D"/>
    <w:rsid w:val="006D0138"/>
    <w:rsid w:val="006D767D"/>
    <w:rsid w:val="006F1AB7"/>
    <w:rsid w:val="006F2157"/>
    <w:rsid w:val="006F553D"/>
    <w:rsid w:val="00702300"/>
    <w:rsid w:val="007069FF"/>
    <w:rsid w:val="00707EFA"/>
    <w:rsid w:val="0072358E"/>
    <w:rsid w:val="00727FCA"/>
    <w:rsid w:val="00733D0A"/>
    <w:rsid w:val="00735A54"/>
    <w:rsid w:val="0074008B"/>
    <w:rsid w:val="00760FB3"/>
    <w:rsid w:val="007650B3"/>
    <w:rsid w:val="007656F5"/>
    <w:rsid w:val="00766433"/>
    <w:rsid w:val="007667F8"/>
    <w:rsid w:val="00766A9E"/>
    <w:rsid w:val="00770493"/>
    <w:rsid w:val="0077062F"/>
    <w:rsid w:val="007709C9"/>
    <w:rsid w:val="0077214F"/>
    <w:rsid w:val="007746C8"/>
    <w:rsid w:val="00776A55"/>
    <w:rsid w:val="00795020"/>
    <w:rsid w:val="00796A56"/>
    <w:rsid w:val="00796E3F"/>
    <w:rsid w:val="007A0C50"/>
    <w:rsid w:val="007A4233"/>
    <w:rsid w:val="007A5017"/>
    <w:rsid w:val="007A5E80"/>
    <w:rsid w:val="007B02C0"/>
    <w:rsid w:val="007B60E4"/>
    <w:rsid w:val="007C4A66"/>
    <w:rsid w:val="007C5364"/>
    <w:rsid w:val="007C53C4"/>
    <w:rsid w:val="007C56DC"/>
    <w:rsid w:val="007C687F"/>
    <w:rsid w:val="007D0DF5"/>
    <w:rsid w:val="007E0015"/>
    <w:rsid w:val="007E0EE4"/>
    <w:rsid w:val="007E3502"/>
    <w:rsid w:val="007E3D40"/>
    <w:rsid w:val="00810387"/>
    <w:rsid w:val="00812833"/>
    <w:rsid w:val="00820DC0"/>
    <w:rsid w:val="00823B96"/>
    <w:rsid w:val="0082500B"/>
    <w:rsid w:val="008331FF"/>
    <w:rsid w:val="008446B0"/>
    <w:rsid w:val="00855E97"/>
    <w:rsid w:val="00862AF5"/>
    <w:rsid w:val="00864245"/>
    <w:rsid w:val="0087083D"/>
    <w:rsid w:val="00882B26"/>
    <w:rsid w:val="00883606"/>
    <w:rsid w:val="008848D4"/>
    <w:rsid w:val="008906D8"/>
    <w:rsid w:val="008961DF"/>
    <w:rsid w:val="0089745C"/>
    <w:rsid w:val="008A12B3"/>
    <w:rsid w:val="008A612B"/>
    <w:rsid w:val="008C5580"/>
    <w:rsid w:val="008C559E"/>
    <w:rsid w:val="008C689B"/>
    <w:rsid w:val="008D4938"/>
    <w:rsid w:val="008D7981"/>
    <w:rsid w:val="008F31D8"/>
    <w:rsid w:val="008F4411"/>
    <w:rsid w:val="00905ADB"/>
    <w:rsid w:val="00907813"/>
    <w:rsid w:val="0091066D"/>
    <w:rsid w:val="00912AE7"/>
    <w:rsid w:val="0091489B"/>
    <w:rsid w:val="00965E99"/>
    <w:rsid w:val="0097538D"/>
    <w:rsid w:val="00977A67"/>
    <w:rsid w:val="009837D0"/>
    <w:rsid w:val="00984B0F"/>
    <w:rsid w:val="00997A39"/>
    <w:rsid w:val="009A1D6D"/>
    <w:rsid w:val="009A586A"/>
    <w:rsid w:val="009A776B"/>
    <w:rsid w:val="009B04A9"/>
    <w:rsid w:val="009B1D74"/>
    <w:rsid w:val="009C6C86"/>
    <w:rsid w:val="009C7BE5"/>
    <w:rsid w:val="009D26D5"/>
    <w:rsid w:val="009D3F99"/>
    <w:rsid w:val="009E2A54"/>
    <w:rsid w:val="009E32B2"/>
    <w:rsid w:val="009F3E2E"/>
    <w:rsid w:val="009F51E6"/>
    <w:rsid w:val="00A175AF"/>
    <w:rsid w:val="00A30CD1"/>
    <w:rsid w:val="00A36451"/>
    <w:rsid w:val="00A36B68"/>
    <w:rsid w:val="00A515CB"/>
    <w:rsid w:val="00A5209D"/>
    <w:rsid w:val="00A525FE"/>
    <w:rsid w:val="00A65D58"/>
    <w:rsid w:val="00A66585"/>
    <w:rsid w:val="00A666AC"/>
    <w:rsid w:val="00A74C71"/>
    <w:rsid w:val="00A74E85"/>
    <w:rsid w:val="00A811B9"/>
    <w:rsid w:val="00A84247"/>
    <w:rsid w:val="00A84361"/>
    <w:rsid w:val="00A877EE"/>
    <w:rsid w:val="00A9080C"/>
    <w:rsid w:val="00AA65FF"/>
    <w:rsid w:val="00AC04EB"/>
    <w:rsid w:val="00AC10E4"/>
    <w:rsid w:val="00AC2417"/>
    <w:rsid w:val="00AC78F1"/>
    <w:rsid w:val="00AD1084"/>
    <w:rsid w:val="00AE4B01"/>
    <w:rsid w:val="00AF0A3A"/>
    <w:rsid w:val="00AF4F61"/>
    <w:rsid w:val="00AF60F8"/>
    <w:rsid w:val="00AF7698"/>
    <w:rsid w:val="00B011D7"/>
    <w:rsid w:val="00B02F79"/>
    <w:rsid w:val="00B1018C"/>
    <w:rsid w:val="00B10849"/>
    <w:rsid w:val="00B109B0"/>
    <w:rsid w:val="00B16C77"/>
    <w:rsid w:val="00B20083"/>
    <w:rsid w:val="00B21FC4"/>
    <w:rsid w:val="00B244C1"/>
    <w:rsid w:val="00B25DA6"/>
    <w:rsid w:val="00B439AA"/>
    <w:rsid w:val="00B4688A"/>
    <w:rsid w:val="00B64C3E"/>
    <w:rsid w:val="00B8659A"/>
    <w:rsid w:val="00B868B0"/>
    <w:rsid w:val="00BA270B"/>
    <w:rsid w:val="00BA4ED3"/>
    <w:rsid w:val="00BB25C4"/>
    <w:rsid w:val="00BB7DC3"/>
    <w:rsid w:val="00BC5176"/>
    <w:rsid w:val="00BE1697"/>
    <w:rsid w:val="00BE175D"/>
    <w:rsid w:val="00BE5B45"/>
    <w:rsid w:val="00BE6087"/>
    <w:rsid w:val="00BE7D46"/>
    <w:rsid w:val="00BF375F"/>
    <w:rsid w:val="00C00A59"/>
    <w:rsid w:val="00C06E41"/>
    <w:rsid w:val="00C13063"/>
    <w:rsid w:val="00C2104E"/>
    <w:rsid w:val="00C25080"/>
    <w:rsid w:val="00C3049C"/>
    <w:rsid w:val="00C35B57"/>
    <w:rsid w:val="00C402BD"/>
    <w:rsid w:val="00C41E08"/>
    <w:rsid w:val="00C42D95"/>
    <w:rsid w:val="00C4458A"/>
    <w:rsid w:val="00C45076"/>
    <w:rsid w:val="00C542E5"/>
    <w:rsid w:val="00C707B9"/>
    <w:rsid w:val="00C73434"/>
    <w:rsid w:val="00C77C73"/>
    <w:rsid w:val="00CA1110"/>
    <w:rsid w:val="00CB23B9"/>
    <w:rsid w:val="00CB65F0"/>
    <w:rsid w:val="00CC00C0"/>
    <w:rsid w:val="00CC4870"/>
    <w:rsid w:val="00CC50DD"/>
    <w:rsid w:val="00CD5BEF"/>
    <w:rsid w:val="00CD5FFE"/>
    <w:rsid w:val="00CE436E"/>
    <w:rsid w:val="00CF14A8"/>
    <w:rsid w:val="00CF3031"/>
    <w:rsid w:val="00D01715"/>
    <w:rsid w:val="00D1051F"/>
    <w:rsid w:val="00D15B22"/>
    <w:rsid w:val="00D21F35"/>
    <w:rsid w:val="00D2680F"/>
    <w:rsid w:val="00D27025"/>
    <w:rsid w:val="00D27865"/>
    <w:rsid w:val="00D31CBE"/>
    <w:rsid w:val="00D32098"/>
    <w:rsid w:val="00D33327"/>
    <w:rsid w:val="00D33C41"/>
    <w:rsid w:val="00D35910"/>
    <w:rsid w:val="00D45C36"/>
    <w:rsid w:val="00D470FA"/>
    <w:rsid w:val="00D52E28"/>
    <w:rsid w:val="00D53AD4"/>
    <w:rsid w:val="00D72E02"/>
    <w:rsid w:val="00D7345E"/>
    <w:rsid w:val="00D7371D"/>
    <w:rsid w:val="00D74358"/>
    <w:rsid w:val="00D77A77"/>
    <w:rsid w:val="00D77C99"/>
    <w:rsid w:val="00D80B70"/>
    <w:rsid w:val="00D855DA"/>
    <w:rsid w:val="00D86D9B"/>
    <w:rsid w:val="00D94B85"/>
    <w:rsid w:val="00D96449"/>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675D"/>
    <w:rsid w:val="00E55FFB"/>
    <w:rsid w:val="00E6083D"/>
    <w:rsid w:val="00E627B8"/>
    <w:rsid w:val="00E76467"/>
    <w:rsid w:val="00E77670"/>
    <w:rsid w:val="00E80F11"/>
    <w:rsid w:val="00E822E8"/>
    <w:rsid w:val="00E96CC3"/>
    <w:rsid w:val="00E9746B"/>
    <w:rsid w:val="00EA17A3"/>
    <w:rsid w:val="00EA39AD"/>
    <w:rsid w:val="00EA7F31"/>
    <w:rsid w:val="00EB5852"/>
    <w:rsid w:val="00EB6628"/>
    <w:rsid w:val="00ED58A3"/>
    <w:rsid w:val="00ED7E74"/>
    <w:rsid w:val="00EE2463"/>
    <w:rsid w:val="00EE2C43"/>
    <w:rsid w:val="00EE3401"/>
    <w:rsid w:val="00EE5054"/>
    <w:rsid w:val="00EF4506"/>
    <w:rsid w:val="00EF7B48"/>
    <w:rsid w:val="00F03A77"/>
    <w:rsid w:val="00F05051"/>
    <w:rsid w:val="00F05A75"/>
    <w:rsid w:val="00F06234"/>
    <w:rsid w:val="00F210EF"/>
    <w:rsid w:val="00F26B60"/>
    <w:rsid w:val="00F31816"/>
    <w:rsid w:val="00F346A7"/>
    <w:rsid w:val="00F501D1"/>
    <w:rsid w:val="00F52D80"/>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7C84"/>
    <w:rsid w:val="00FD03EA"/>
    <w:rsid w:val="00FD04AB"/>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zh-TW"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zh-TW"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A3A"/>
    <w:rPr>
      <w:rFonts w:ascii="Times New Roman" w:eastAsia="Times New Roman" w:hAnsi="Times New Roman"/>
      <w:sz w:val="24"/>
      <w:szCs w:val="24"/>
      <w:lang w:eastAsia="en-US"/>
    </w:rPr>
  </w:style>
  <w:style w:type="paragraph" w:styleId="Heading1">
    <w:name w:val="heading 1"/>
    <w:basedOn w:val="Normal"/>
    <w:next w:val="Normal"/>
    <w:link w:val="Heading1Char1"/>
    <w:uiPriority w:val="99"/>
    <w:qFormat/>
    <w:rsid w:val="00AF0A3A"/>
    <w:pPr>
      <w:keepNext/>
      <w:keepLines/>
      <w:spacing w:before="240"/>
      <w:outlineLvl w:val="0"/>
    </w:pPr>
    <w:rPr>
      <w:rFonts w:ascii="Cambria" w:hAnsi="Cambria"/>
      <w:b/>
      <w:bCs/>
      <w:color w:val="365F91"/>
      <w:sz w:val="28"/>
      <w:szCs w:val="28"/>
      <w:lang w:eastAsia="en-GB"/>
    </w:rPr>
  </w:style>
  <w:style w:type="paragraph" w:styleId="Heading2">
    <w:name w:val="heading 2"/>
    <w:basedOn w:val="Normal"/>
    <w:next w:val="Normal"/>
    <w:link w:val="Heading2Char"/>
    <w:uiPriority w:val="9"/>
    <w:qFormat/>
    <w:rsid w:val="00AF0A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0A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AF0A3A"/>
    <w:rPr>
      <w:rFonts w:asciiTheme="majorHAnsi" w:eastAsiaTheme="majorEastAsia" w:hAnsiTheme="majorHAnsi" w:cstheme="majorBidi"/>
      <w:color w:val="365F91" w:themeColor="accent1" w:themeShade="BF"/>
      <w:sz w:val="32"/>
      <w:szCs w:val="32"/>
    </w:rPr>
  </w:style>
  <w:style w:type="character" w:customStyle="1" w:styleId="Heading2Char">
    <w:name w:val="Heading 2 Char"/>
    <w:link w:val="Heading2"/>
    <w:uiPriority w:val="9"/>
    <w:rsid w:val="00BA270B"/>
    <w:rPr>
      <w:rFonts w:asciiTheme="majorHAnsi" w:eastAsiaTheme="majorEastAsia" w:hAnsiTheme="majorHAnsi" w:cstheme="majorBidi"/>
      <w:color w:val="365F91" w:themeColor="accent1" w:themeShade="BF"/>
      <w:sz w:val="26"/>
      <w:szCs w:val="26"/>
      <w:lang w:eastAsia="en-US"/>
    </w:rPr>
  </w:style>
  <w:style w:type="character" w:customStyle="1" w:styleId="Heading1Char1">
    <w:name w:val="Heading 1 Char1"/>
    <w:link w:val="Heading1"/>
    <w:uiPriority w:val="99"/>
    <w:rsid w:val="00F05051"/>
    <w:rPr>
      <w:rFonts w:ascii="Cambria" w:eastAsia="Times New Roman" w:hAnsi="Cambria"/>
      <w:b/>
      <w:bCs/>
      <w:color w:val="365F91"/>
      <w:sz w:val="28"/>
      <w:szCs w:val="28"/>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AF0A3A"/>
    <w:rPr>
      <w:color w:val="0000FF" w:themeColor="hyperlink"/>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002E"/>
  </w:style>
  <w:style w:type="paragraph" w:styleId="CommentText">
    <w:name w:val="annotation text"/>
    <w:basedOn w:val="Normal"/>
    <w:link w:val="CommentTextChar"/>
    <w:uiPriority w:val="99"/>
    <w:unhideWhenUsed/>
    <w:rsid w:val="00D33327"/>
  </w:style>
  <w:style w:type="character" w:customStyle="1" w:styleId="CommentTextChar">
    <w:name w:val="Comment Text Char"/>
    <w:basedOn w:val="DefaultParagraphFont"/>
    <w:link w:val="CommentText"/>
    <w:uiPriority w:val="99"/>
    <w:rsid w:val="00D33327"/>
    <w:rPr>
      <w:rFonts w:ascii="Times New Roman" w:eastAsia="Times New Roman" w:hAnsi="Times New Roman"/>
      <w:sz w:val="24"/>
      <w:szCs w:val="24"/>
      <w:lang w:eastAsia="en-US"/>
    </w:rPr>
  </w:style>
  <w:style w:type="character" w:customStyle="1" w:styleId="apple-style-span">
    <w:name w:val="apple-style-span"/>
    <w:basedOn w:val="DefaultParagraphFont"/>
    <w:rsid w:val="00AF0A3A"/>
  </w:style>
  <w:style w:type="paragraph" w:customStyle="1" w:styleId="Reference0">
    <w:name w:val="Reference"/>
    <w:basedOn w:val="Normal"/>
    <w:link w:val="ReferenceChar"/>
    <w:qFormat/>
    <w:rsid w:val="00AF0A3A"/>
    <w:pPr>
      <w:spacing w:after="120" w:line="276" w:lineRule="auto"/>
      <w:jc w:val="right"/>
    </w:pPr>
    <w:rPr>
      <w:rFonts w:eastAsia="Calibri"/>
      <w:bCs/>
      <w:iCs/>
      <w:sz w:val="20"/>
      <w:szCs w:val="20"/>
    </w:rPr>
  </w:style>
  <w:style w:type="character" w:customStyle="1" w:styleId="ReferenceChar">
    <w:name w:val="Reference Char"/>
    <w:basedOn w:val="DefaultParagraphFont"/>
    <w:link w:val="Reference0"/>
    <w:rsid w:val="00AF0A3A"/>
    <w:rPr>
      <w:rFonts w:ascii="Times New Roman" w:hAnsi="Times New Roman"/>
      <w:bCs/>
      <w:iCs/>
      <w:lang w:eastAsia="en-US"/>
    </w:rPr>
  </w:style>
  <w:style w:type="paragraph" w:styleId="Revision">
    <w:name w:val="Revision"/>
    <w:hidden/>
    <w:uiPriority w:val="99"/>
    <w:semiHidden/>
    <w:rsid w:val="00AF0A3A"/>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741171936">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crc.sfaa.gov.tw/crc_front/index.php?action=classification&amp;uuid=189170dc-3561-46df-8746-7824b7f30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F4A05-A119-4DC1-B1E3-04336BB4009B}">
  <ds:schemaRefs>
    <ds:schemaRef ds:uri="http://schemas.microsoft.com/sharepoint/v3/contenttype/forms"/>
  </ds:schemaRefs>
</ds:datastoreItem>
</file>

<file path=customXml/itemProps4.xml><?xml version="1.0" encoding="utf-8"?>
<ds:datastoreItem xmlns:ds="http://schemas.openxmlformats.org/officeDocument/2006/customXml" ds:itemID="{BA9803F3-9932-4C0D-AEB7-50E02842387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335696-6EEA-4AAC-8832-69DA1AE3A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E4D0C2-EDD4-4295-8F0C-88BE137F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2018-10-18T13:51:00Z</cp:lastPrinted>
  <dcterms:created xsi:type="dcterms:W3CDTF">2019-11-13T11:57:00Z</dcterms:created>
  <dcterms:modified xsi:type="dcterms:W3CDTF">2019-11-13T11:57:00Z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